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69" w:rsidRPr="002D4C69" w:rsidRDefault="002D4C69" w:rsidP="0074587F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D4C69">
        <w:rPr>
          <w:rFonts w:ascii="Arial" w:hAnsi="Arial" w:cs="Arial"/>
          <w:b/>
          <w:sz w:val="20"/>
          <w:szCs w:val="20"/>
        </w:rPr>
        <w:t>SD4: Annual General Mandate</w:t>
      </w:r>
      <w:r w:rsidR="0074587F" w:rsidRPr="002D4C69">
        <w:rPr>
          <w:rFonts w:ascii="Arial" w:hAnsi="Arial" w:cs="Arial"/>
          <w:b/>
          <w:sz w:val="20"/>
          <w:szCs w:val="20"/>
        </w:rPr>
        <w:tab/>
      </w:r>
    </w:p>
    <w:p w:rsidR="0037303C" w:rsidRPr="00517640" w:rsidRDefault="0074587F" w:rsidP="0074587F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28 April 2017, Song Da 4 Joint Stock Company announced</w:t>
      </w:r>
      <w:r w:rsidR="002D4C69">
        <w:rPr>
          <w:rFonts w:ascii="Arial" w:hAnsi="Arial" w:cs="Arial"/>
          <w:sz w:val="20"/>
          <w:szCs w:val="20"/>
        </w:rPr>
        <w:t xml:space="preserve"> the </w:t>
      </w:r>
      <w:r w:rsidR="002D4C69" w:rsidRPr="002D4C69">
        <w:rPr>
          <w:rFonts w:ascii="Arial" w:hAnsi="Arial" w:cs="Arial"/>
          <w:sz w:val="20"/>
          <w:szCs w:val="20"/>
        </w:rPr>
        <w:t>Annual General Mandate as follows</w:t>
      </w:r>
      <w:r w:rsidRPr="002D4C69">
        <w:rPr>
          <w:rFonts w:ascii="Arial" w:hAnsi="Arial" w:cs="Arial"/>
          <w:sz w:val="20"/>
          <w:szCs w:val="20"/>
        </w:rPr>
        <w:t>: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B2D8A">
        <w:rPr>
          <w:rFonts w:ascii="Arial" w:hAnsi="Arial" w:cs="Arial"/>
          <w:b/>
          <w:sz w:val="20"/>
          <w:szCs w:val="20"/>
          <w:u w:val="single"/>
        </w:rPr>
        <w:t>Article 1:</w:t>
      </w:r>
      <w:r w:rsidRPr="00517640">
        <w:rPr>
          <w:rFonts w:ascii="Arial" w:hAnsi="Arial" w:cs="Arial"/>
          <w:sz w:val="20"/>
          <w:szCs w:val="20"/>
        </w:rPr>
        <w:t xml:space="preserve"> Annual General Meeting </w:t>
      </w:r>
      <w:r w:rsidR="000D1CAA">
        <w:rPr>
          <w:rFonts w:ascii="Arial" w:hAnsi="Arial" w:cs="Arial"/>
          <w:sz w:val="20"/>
          <w:szCs w:val="20"/>
        </w:rPr>
        <w:t xml:space="preserve">of Shareholders </w:t>
      </w:r>
      <w:r w:rsidR="00AB2D8A">
        <w:rPr>
          <w:rFonts w:ascii="Arial" w:hAnsi="Arial" w:cs="Arial"/>
          <w:sz w:val="20"/>
          <w:szCs w:val="20"/>
        </w:rPr>
        <w:t>2017 resolves</w:t>
      </w:r>
      <w:r w:rsidRPr="00517640">
        <w:rPr>
          <w:rFonts w:ascii="Arial" w:hAnsi="Arial" w:cs="Arial"/>
          <w:sz w:val="20"/>
          <w:szCs w:val="20"/>
        </w:rPr>
        <w:t xml:space="preserve"> to approve the following contents:</w:t>
      </w:r>
    </w:p>
    <w:p w:rsidR="006629A4" w:rsidRPr="00AB2D8A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AB2D8A">
        <w:rPr>
          <w:rFonts w:ascii="Arial" w:hAnsi="Arial" w:cs="Arial"/>
          <w:b/>
          <w:sz w:val="20"/>
          <w:szCs w:val="20"/>
        </w:rPr>
        <w:t>1. Report</w:t>
      </w:r>
      <w:r w:rsidR="00F31FFA">
        <w:rPr>
          <w:rFonts w:ascii="Arial" w:hAnsi="Arial" w:cs="Arial"/>
          <w:b/>
          <w:sz w:val="20"/>
          <w:szCs w:val="20"/>
        </w:rPr>
        <w:t xml:space="preserve"> of the Board of Directors, </w:t>
      </w:r>
      <w:r w:rsidRPr="00AB2D8A">
        <w:rPr>
          <w:rFonts w:ascii="Arial" w:hAnsi="Arial" w:cs="Arial"/>
          <w:b/>
          <w:sz w:val="20"/>
          <w:szCs w:val="20"/>
        </w:rPr>
        <w:t>Board of Supervisors, the financial state</w:t>
      </w:r>
      <w:r w:rsidR="000D1CAA">
        <w:rPr>
          <w:rFonts w:ascii="Arial" w:hAnsi="Arial" w:cs="Arial"/>
          <w:b/>
          <w:sz w:val="20"/>
          <w:szCs w:val="20"/>
        </w:rPr>
        <w:t xml:space="preserve">ment </w:t>
      </w:r>
      <w:r w:rsidR="00F31FFA">
        <w:rPr>
          <w:rFonts w:ascii="Arial" w:hAnsi="Arial" w:cs="Arial"/>
          <w:b/>
          <w:sz w:val="20"/>
          <w:szCs w:val="20"/>
        </w:rPr>
        <w:t xml:space="preserve">2016 and the results of production and </w:t>
      </w:r>
      <w:r w:rsidRPr="00AB2D8A">
        <w:rPr>
          <w:rFonts w:ascii="Arial" w:hAnsi="Arial" w:cs="Arial"/>
          <w:b/>
          <w:sz w:val="20"/>
          <w:szCs w:val="20"/>
        </w:rPr>
        <w:t>business in 2016:</w:t>
      </w:r>
    </w:p>
    <w:p w:rsidR="006629A4" w:rsidRPr="00AB2D8A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AB2D8A">
        <w:rPr>
          <w:rFonts w:ascii="Arial" w:hAnsi="Arial" w:cs="Arial"/>
          <w:b/>
          <w:sz w:val="20"/>
          <w:szCs w:val="20"/>
        </w:rPr>
        <w:t>1.1. Content</w:t>
      </w:r>
      <w:r w:rsidR="000D1CAA">
        <w:rPr>
          <w:rFonts w:ascii="Arial" w:hAnsi="Arial" w:cs="Arial"/>
          <w:b/>
          <w:sz w:val="20"/>
          <w:szCs w:val="20"/>
        </w:rPr>
        <w:t>s</w:t>
      </w:r>
      <w:r w:rsidRPr="00AB2D8A">
        <w:rPr>
          <w:rFonts w:ascii="Arial" w:hAnsi="Arial" w:cs="Arial"/>
          <w:b/>
          <w:sz w:val="20"/>
          <w:szCs w:val="20"/>
        </w:rPr>
        <w:t xml:space="preserve"> of the report of the Board of Directors, </w:t>
      </w:r>
      <w:r w:rsidR="00F31FFA" w:rsidRPr="00AB2D8A">
        <w:rPr>
          <w:rFonts w:ascii="Arial" w:hAnsi="Arial" w:cs="Arial"/>
          <w:b/>
          <w:sz w:val="20"/>
          <w:szCs w:val="20"/>
        </w:rPr>
        <w:t>Board of Supervisors</w:t>
      </w:r>
      <w:r w:rsidRPr="00AB2D8A">
        <w:rPr>
          <w:rFonts w:ascii="Arial" w:hAnsi="Arial" w:cs="Arial"/>
          <w:b/>
          <w:sz w:val="20"/>
          <w:szCs w:val="20"/>
        </w:rPr>
        <w:t xml:space="preserve">, </w:t>
      </w:r>
      <w:r w:rsidR="00F31FFA" w:rsidRPr="00AB2D8A">
        <w:rPr>
          <w:rFonts w:ascii="Arial" w:hAnsi="Arial" w:cs="Arial"/>
          <w:b/>
          <w:sz w:val="20"/>
          <w:szCs w:val="20"/>
        </w:rPr>
        <w:t>the financial state</w:t>
      </w:r>
      <w:r w:rsidR="00F31FFA">
        <w:rPr>
          <w:rFonts w:ascii="Arial" w:hAnsi="Arial" w:cs="Arial"/>
          <w:b/>
          <w:sz w:val="20"/>
          <w:szCs w:val="20"/>
        </w:rPr>
        <w:t>ment</w:t>
      </w:r>
      <w:r w:rsidRPr="00AB2D8A">
        <w:rPr>
          <w:rFonts w:ascii="Arial" w:hAnsi="Arial" w:cs="Arial"/>
          <w:b/>
          <w:sz w:val="20"/>
          <w:szCs w:val="20"/>
        </w:rPr>
        <w:t>:</w:t>
      </w:r>
    </w:p>
    <w:p w:rsidR="006629A4" w:rsidRPr="004761D5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4761D5">
        <w:rPr>
          <w:rFonts w:ascii="Arial" w:hAnsi="Arial" w:cs="Arial"/>
          <w:i/>
          <w:sz w:val="20"/>
          <w:szCs w:val="20"/>
        </w:rPr>
        <w:t xml:space="preserve">As document submitted to the General </w:t>
      </w:r>
      <w:r w:rsidR="004761D5" w:rsidRPr="004761D5">
        <w:rPr>
          <w:rFonts w:ascii="Arial" w:hAnsi="Arial" w:cs="Arial"/>
          <w:i/>
          <w:sz w:val="20"/>
          <w:szCs w:val="20"/>
        </w:rPr>
        <w:t xml:space="preserve">Meeting </w:t>
      </w:r>
      <w:r w:rsidRPr="004761D5">
        <w:rPr>
          <w:rFonts w:ascii="Arial" w:hAnsi="Arial" w:cs="Arial"/>
          <w:i/>
          <w:sz w:val="20"/>
          <w:szCs w:val="20"/>
        </w:rPr>
        <w:t>of Shareholders</w:t>
      </w:r>
    </w:p>
    <w:p w:rsidR="006629A4" w:rsidRPr="00AB2D8A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AB2D8A">
        <w:rPr>
          <w:rFonts w:ascii="Arial" w:hAnsi="Arial" w:cs="Arial"/>
          <w:b/>
          <w:sz w:val="20"/>
          <w:szCs w:val="20"/>
        </w:rPr>
        <w:t>1.2. Implement the targets for production and business plan 2016:</w:t>
      </w:r>
    </w:p>
    <w:p w:rsidR="006629A4" w:rsidRPr="00AB2D8A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0D1CAA">
        <w:rPr>
          <w:rFonts w:ascii="Arial" w:hAnsi="Arial" w:cs="Arial"/>
          <w:i/>
          <w:sz w:val="20"/>
          <w:szCs w:val="20"/>
        </w:rPr>
        <w:t xml:space="preserve">(According to audit report of </w:t>
      </w:r>
      <w:r w:rsidR="00BE5509" w:rsidRPr="000D1CAA">
        <w:rPr>
          <w:rFonts w:ascii="Arial" w:hAnsi="Arial" w:cs="Arial"/>
          <w:sz w:val="20"/>
          <w:szCs w:val="20"/>
        </w:rPr>
        <w:t>AAC Auditing and Accounting Co., Ltd</w:t>
      </w:r>
      <w:r w:rsidRPr="000D1CAA">
        <w:rPr>
          <w:rFonts w:ascii="Arial" w:hAnsi="Arial" w:cs="Arial"/>
          <w:i/>
          <w:sz w:val="20"/>
          <w:szCs w:val="20"/>
        </w:rPr>
        <w:t>)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+ Total production and business value in 2016: </w:t>
      </w:r>
      <w:r w:rsidR="00A74CB7">
        <w:rPr>
          <w:rFonts w:ascii="Arial" w:hAnsi="Arial" w:cs="Arial"/>
          <w:sz w:val="20"/>
          <w:szCs w:val="20"/>
        </w:rPr>
        <w:t>VND 934,09/803 billion, reaching 116,</w:t>
      </w:r>
      <w:r w:rsidR="00BE5509">
        <w:rPr>
          <w:rFonts w:ascii="Arial" w:hAnsi="Arial" w:cs="Arial"/>
          <w:sz w:val="20"/>
          <w:szCs w:val="20"/>
        </w:rPr>
        <w:t>3</w:t>
      </w:r>
      <w:r w:rsidRPr="00517640">
        <w:rPr>
          <w:rFonts w:ascii="Arial" w:hAnsi="Arial" w:cs="Arial"/>
          <w:sz w:val="20"/>
          <w:szCs w:val="20"/>
        </w:rPr>
        <w:t>3% of the plan;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</w:t>
      </w:r>
      <w:r w:rsidR="00CD3C1C">
        <w:rPr>
          <w:rFonts w:ascii="Arial" w:hAnsi="Arial" w:cs="Arial"/>
          <w:sz w:val="20"/>
          <w:szCs w:val="20"/>
        </w:rPr>
        <w:t xml:space="preserve"> Total revenue in 2016: </w:t>
      </w:r>
      <w:r w:rsidR="00A74CB7">
        <w:rPr>
          <w:rFonts w:ascii="Arial" w:hAnsi="Arial" w:cs="Arial"/>
          <w:sz w:val="20"/>
          <w:szCs w:val="20"/>
        </w:rPr>
        <w:t>VND 918,</w:t>
      </w:r>
      <w:r w:rsidR="00CD3C1C">
        <w:rPr>
          <w:rFonts w:ascii="Arial" w:hAnsi="Arial" w:cs="Arial"/>
          <w:sz w:val="20"/>
          <w:szCs w:val="20"/>
        </w:rPr>
        <w:t>7/</w:t>
      </w:r>
      <w:r w:rsidR="00A74CB7">
        <w:rPr>
          <w:rFonts w:ascii="Arial" w:hAnsi="Arial" w:cs="Arial"/>
          <w:sz w:val="20"/>
          <w:szCs w:val="20"/>
        </w:rPr>
        <w:t>785.9 billion, reaching 104,</w:t>
      </w:r>
      <w:r w:rsidRPr="00517640">
        <w:rPr>
          <w:rFonts w:ascii="Arial" w:hAnsi="Arial" w:cs="Arial"/>
          <w:sz w:val="20"/>
          <w:szCs w:val="20"/>
        </w:rPr>
        <w:t>3% of the year plan;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 Profit:</w:t>
      </w:r>
    </w:p>
    <w:p w:rsidR="006629A4" w:rsidRPr="00517640" w:rsidRDefault="00A74CB7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Profit before tax: </w:t>
      </w:r>
      <w:r w:rsidR="0075663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30,</w:t>
      </w:r>
      <w:r w:rsidR="006629A4" w:rsidRPr="00517640">
        <w:rPr>
          <w:rFonts w:ascii="Arial" w:hAnsi="Arial" w:cs="Arial"/>
          <w:sz w:val="20"/>
          <w:szCs w:val="20"/>
        </w:rPr>
        <w:t>78 bill</w:t>
      </w:r>
      <w:r w:rsidR="000D1CAA">
        <w:rPr>
          <w:rFonts w:ascii="Arial" w:hAnsi="Arial" w:cs="Arial"/>
          <w:sz w:val="20"/>
          <w:szCs w:val="20"/>
        </w:rPr>
        <w:t>ion/</w:t>
      </w:r>
      <w:r w:rsidR="0075663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32,</w:t>
      </w:r>
      <w:r w:rsidR="006629A4" w:rsidRPr="00517640">
        <w:rPr>
          <w:rFonts w:ascii="Arial" w:hAnsi="Arial" w:cs="Arial"/>
          <w:sz w:val="20"/>
          <w:szCs w:val="20"/>
        </w:rPr>
        <w:t xml:space="preserve">07 billion, </w:t>
      </w:r>
      <w:r w:rsidR="00756635">
        <w:rPr>
          <w:rFonts w:ascii="Arial" w:hAnsi="Arial" w:cs="Arial"/>
          <w:sz w:val="20"/>
          <w:szCs w:val="20"/>
        </w:rPr>
        <w:t>reaching</w:t>
      </w:r>
      <w:r w:rsidR="006629A4" w:rsidRPr="00517640">
        <w:rPr>
          <w:rFonts w:ascii="Arial" w:hAnsi="Arial" w:cs="Arial"/>
          <w:sz w:val="20"/>
          <w:szCs w:val="20"/>
        </w:rPr>
        <w:t xml:space="preserve"> 96% of the plan;</w:t>
      </w:r>
    </w:p>
    <w:p w:rsidR="006629A4" w:rsidRPr="00517640" w:rsidRDefault="00CD3C1C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Profit after tax: </w:t>
      </w:r>
      <w:r w:rsidR="0075663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25,007/</w:t>
      </w:r>
      <w:r w:rsidR="00A74CB7">
        <w:rPr>
          <w:rFonts w:ascii="Arial" w:hAnsi="Arial" w:cs="Arial"/>
          <w:sz w:val="20"/>
          <w:szCs w:val="20"/>
        </w:rPr>
        <w:t>27,02 billion, reaching 92,</w:t>
      </w:r>
      <w:r w:rsidR="006629A4" w:rsidRPr="00517640">
        <w:rPr>
          <w:rFonts w:ascii="Arial" w:hAnsi="Arial" w:cs="Arial"/>
          <w:sz w:val="20"/>
          <w:szCs w:val="20"/>
        </w:rPr>
        <w:t>52% of the year plan.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+ </w:t>
      </w:r>
      <w:r w:rsidR="00756635">
        <w:rPr>
          <w:rFonts w:ascii="Arial" w:hAnsi="Arial" w:cs="Arial"/>
          <w:sz w:val="20"/>
          <w:szCs w:val="20"/>
        </w:rPr>
        <w:t>Profit ratio</w:t>
      </w:r>
      <w:r w:rsidRPr="00517640">
        <w:rPr>
          <w:rFonts w:ascii="Arial" w:hAnsi="Arial" w:cs="Arial"/>
          <w:sz w:val="20"/>
          <w:szCs w:val="20"/>
        </w:rPr>
        <w:t>: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-</w:t>
      </w:r>
      <w:r w:rsidR="001E7AB0">
        <w:rPr>
          <w:rFonts w:ascii="Arial" w:hAnsi="Arial" w:cs="Arial"/>
          <w:sz w:val="20"/>
          <w:szCs w:val="20"/>
        </w:rPr>
        <w:t xml:space="preserve"> P</w:t>
      </w:r>
      <w:r w:rsidR="000D1CAA">
        <w:rPr>
          <w:rFonts w:ascii="Arial" w:hAnsi="Arial" w:cs="Arial"/>
          <w:sz w:val="20"/>
          <w:szCs w:val="20"/>
        </w:rPr>
        <w:t>rofit before tax/revenue: 3,76%</w:t>
      </w:r>
      <w:r w:rsidR="001E7AB0">
        <w:rPr>
          <w:rFonts w:ascii="Arial" w:hAnsi="Arial" w:cs="Arial"/>
          <w:sz w:val="20"/>
          <w:szCs w:val="20"/>
        </w:rPr>
        <w:t>/</w:t>
      </w:r>
      <w:r w:rsidR="00A74CB7">
        <w:rPr>
          <w:rFonts w:ascii="Arial" w:hAnsi="Arial" w:cs="Arial"/>
          <w:sz w:val="20"/>
          <w:szCs w:val="20"/>
        </w:rPr>
        <w:t>4,</w:t>
      </w:r>
      <w:r w:rsidRPr="00517640">
        <w:rPr>
          <w:rFonts w:ascii="Arial" w:hAnsi="Arial" w:cs="Arial"/>
          <w:sz w:val="20"/>
          <w:szCs w:val="20"/>
        </w:rPr>
        <w:t>07%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</w:t>
      </w:r>
      <w:r w:rsidR="001E7AB0">
        <w:rPr>
          <w:rFonts w:ascii="Arial" w:hAnsi="Arial" w:cs="Arial"/>
          <w:sz w:val="20"/>
          <w:szCs w:val="20"/>
        </w:rPr>
        <w:t>Ratio of profit after t</w:t>
      </w:r>
      <w:r w:rsidRPr="00517640">
        <w:rPr>
          <w:rFonts w:ascii="Arial" w:hAnsi="Arial" w:cs="Arial"/>
          <w:sz w:val="20"/>
          <w:szCs w:val="20"/>
        </w:rPr>
        <w:t>ax</w:t>
      </w:r>
      <w:r w:rsidR="001E7AB0">
        <w:rPr>
          <w:rFonts w:ascii="Arial" w:hAnsi="Arial" w:cs="Arial"/>
          <w:sz w:val="20"/>
          <w:szCs w:val="20"/>
        </w:rPr>
        <w:t xml:space="preserve"> / owner’s equity 16,36%/</w:t>
      </w:r>
      <w:r w:rsidR="00A74CB7">
        <w:rPr>
          <w:rFonts w:ascii="Arial" w:hAnsi="Arial" w:cs="Arial"/>
          <w:sz w:val="20"/>
          <w:szCs w:val="20"/>
        </w:rPr>
        <w:t>17,</w:t>
      </w:r>
      <w:r w:rsidRPr="00517640">
        <w:rPr>
          <w:rFonts w:ascii="Arial" w:hAnsi="Arial" w:cs="Arial"/>
          <w:sz w:val="20"/>
          <w:szCs w:val="20"/>
        </w:rPr>
        <w:t>39%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- </w:t>
      </w:r>
      <w:r w:rsidR="001E7AB0">
        <w:rPr>
          <w:rFonts w:ascii="Arial" w:hAnsi="Arial" w:cs="Arial"/>
          <w:sz w:val="20"/>
          <w:szCs w:val="20"/>
        </w:rPr>
        <w:t>Ratio of p</w:t>
      </w:r>
      <w:r w:rsidRPr="00517640">
        <w:rPr>
          <w:rFonts w:ascii="Arial" w:hAnsi="Arial" w:cs="Arial"/>
          <w:sz w:val="20"/>
          <w:szCs w:val="20"/>
        </w:rPr>
        <w:t>rofit afte</w:t>
      </w:r>
      <w:r w:rsidR="001E7AB0">
        <w:rPr>
          <w:rFonts w:ascii="Arial" w:hAnsi="Arial" w:cs="Arial"/>
          <w:sz w:val="20"/>
          <w:szCs w:val="20"/>
        </w:rPr>
        <w:t>r tax / total assets: 2,31%/</w:t>
      </w:r>
      <w:r w:rsidR="00A74CB7">
        <w:rPr>
          <w:rFonts w:ascii="Arial" w:hAnsi="Arial" w:cs="Arial"/>
          <w:sz w:val="20"/>
          <w:szCs w:val="20"/>
        </w:rPr>
        <w:t>3,</w:t>
      </w:r>
      <w:r w:rsidRPr="00517640">
        <w:rPr>
          <w:rFonts w:ascii="Arial" w:hAnsi="Arial" w:cs="Arial"/>
          <w:sz w:val="20"/>
          <w:szCs w:val="20"/>
        </w:rPr>
        <w:t>1%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 Averag</w:t>
      </w:r>
      <w:r w:rsidR="001E7AB0">
        <w:rPr>
          <w:rFonts w:ascii="Arial" w:hAnsi="Arial" w:cs="Arial"/>
          <w:sz w:val="20"/>
          <w:szCs w:val="20"/>
        </w:rPr>
        <w:t>e income of employees: VND 8,52/</w:t>
      </w:r>
      <w:r w:rsidR="00A74CB7">
        <w:rPr>
          <w:rFonts w:ascii="Arial" w:hAnsi="Arial" w:cs="Arial"/>
          <w:sz w:val="20"/>
          <w:szCs w:val="20"/>
        </w:rPr>
        <w:t>8,</w:t>
      </w:r>
      <w:r w:rsidR="001E7AB0">
        <w:rPr>
          <w:rFonts w:ascii="Arial" w:hAnsi="Arial" w:cs="Arial"/>
          <w:sz w:val="20"/>
          <w:szCs w:val="20"/>
        </w:rPr>
        <w:t>267 million/person/</w:t>
      </w:r>
      <w:r w:rsidRPr="00517640">
        <w:rPr>
          <w:rFonts w:ascii="Arial" w:hAnsi="Arial" w:cs="Arial"/>
          <w:sz w:val="20"/>
          <w:szCs w:val="20"/>
        </w:rPr>
        <w:t>month, reaching 103% of the plan.</w:t>
      </w:r>
    </w:p>
    <w:p w:rsidR="006629A4" w:rsidRPr="00517640" w:rsidRDefault="00A74CB7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Pay the budget: </w:t>
      </w:r>
      <w:r w:rsidR="005A3669">
        <w:rPr>
          <w:rFonts w:ascii="Arial" w:hAnsi="Arial" w:cs="Arial"/>
          <w:sz w:val="20"/>
          <w:szCs w:val="20"/>
        </w:rPr>
        <w:t>VND 45,54/</w:t>
      </w:r>
      <w:r>
        <w:rPr>
          <w:rFonts w:ascii="Arial" w:hAnsi="Arial" w:cs="Arial"/>
          <w:sz w:val="20"/>
          <w:szCs w:val="20"/>
        </w:rPr>
        <w:t>45,</w:t>
      </w:r>
      <w:r w:rsidR="006629A4" w:rsidRPr="00517640">
        <w:rPr>
          <w:rFonts w:ascii="Arial" w:hAnsi="Arial" w:cs="Arial"/>
          <w:sz w:val="20"/>
          <w:szCs w:val="20"/>
        </w:rPr>
        <w:t>5 billion, reaching 100% of the plan;</w:t>
      </w:r>
    </w:p>
    <w:p w:rsidR="006629A4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+ </w:t>
      </w:r>
      <w:r w:rsidR="005A3669">
        <w:rPr>
          <w:rFonts w:ascii="Arial" w:hAnsi="Arial" w:cs="Arial"/>
          <w:sz w:val="20"/>
          <w:szCs w:val="20"/>
        </w:rPr>
        <w:t>Owner’s e</w:t>
      </w:r>
      <w:r w:rsidRPr="00517640">
        <w:rPr>
          <w:rFonts w:ascii="Arial" w:hAnsi="Arial" w:cs="Arial"/>
          <w:sz w:val="20"/>
          <w:szCs w:val="20"/>
        </w:rPr>
        <w:t xml:space="preserve">quity: </w:t>
      </w:r>
      <w:r w:rsidR="00073F5B">
        <w:rPr>
          <w:rFonts w:ascii="Arial" w:hAnsi="Arial" w:cs="Arial"/>
          <w:sz w:val="20"/>
          <w:szCs w:val="20"/>
        </w:rPr>
        <w:t xml:space="preserve">VND </w:t>
      </w:r>
      <w:r w:rsidRPr="00517640">
        <w:rPr>
          <w:rFonts w:ascii="Arial" w:hAnsi="Arial" w:cs="Arial"/>
          <w:sz w:val="20"/>
          <w:szCs w:val="20"/>
        </w:rPr>
        <w:t>152</w:t>
      </w:r>
      <w:r w:rsidR="00073F5B">
        <w:rPr>
          <w:rFonts w:ascii="Arial" w:hAnsi="Arial" w:cs="Arial"/>
          <w:sz w:val="20"/>
          <w:szCs w:val="20"/>
        </w:rPr>
        <w:t>,8/</w:t>
      </w:r>
      <w:r w:rsidR="00A74CB7">
        <w:rPr>
          <w:rFonts w:ascii="Arial" w:hAnsi="Arial" w:cs="Arial"/>
          <w:sz w:val="20"/>
          <w:szCs w:val="20"/>
        </w:rPr>
        <w:t>155,4 billion, reaching 98,</w:t>
      </w:r>
      <w:r w:rsidRPr="00517640">
        <w:rPr>
          <w:rFonts w:ascii="Arial" w:hAnsi="Arial" w:cs="Arial"/>
          <w:sz w:val="20"/>
          <w:szCs w:val="20"/>
        </w:rPr>
        <w:t>32% of the year plan;</w:t>
      </w:r>
    </w:p>
    <w:p w:rsidR="006629A4" w:rsidRPr="00517640" w:rsidRDefault="00073F5B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Total assets: </w:t>
      </w:r>
      <w:r w:rsidR="00404CC6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1.080,31/871,</w:t>
      </w:r>
      <w:r w:rsidR="006629A4" w:rsidRPr="00517640">
        <w:rPr>
          <w:rFonts w:ascii="Arial" w:hAnsi="Arial" w:cs="Arial"/>
          <w:sz w:val="20"/>
          <w:szCs w:val="20"/>
        </w:rPr>
        <w:t>4 billion, reaching 123% of the year plan;</w:t>
      </w:r>
    </w:p>
    <w:p w:rsidR="006629A4" w:rsidRPr="00517640" w:rsidRDefault="00073F5B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Investment: VND 31,86/</w:t>
      </w:r>
      <w:r w:rsidR="00A74CB7">
        <w:rPr>
          <w:rFonts w:ascii="Arial" w:hAnsi="Arial" w:cs="Arial"/>
          <w:sz w:val="20"/>
          <w:szCs w:val="20"/>
        </w:rPr>
        <w:t>48,</w:t>
      </w:r>
      <w:r w:rsidR="006629A4" w:rsidRPr="00517640">
        <w:rPr>
          <w:rFonts w:ascii="Arial" w:hAnsi="Arial" w:cs="Arial"/>
          <w:sz w:val="20"/>
          <w:szCs w:val="20"/>
        </w:rPr>
        <w:t>2 billion, reaching 66%</w:t>
      </w:r>
    </w:p>
    <w:p w:rsidR="0037303C" w:rsidRPr="00517640" w:rsidRDefault="006629A4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+ </w:t>
      </w:r>
      <w:r w:rsidR="00073F5B">
        <w:rPr>
          <w:rFonts w:ascii="Arial" w:hAnsi="Arial" w:cs="Arial"/>
          <w:sz w:val="20"/>
          <w:szCs w:val="20"/>
        </w:rPr>
        <w:t>Dividend rate (expected): 15%/</w:t>
      </w:r>
      <w:r w:rsidRPr="00517640">
        <w:rPr>
          <w:rFonts w:ascii="Arial" w:hAnsi="Arial" w:cs="Arial"/>
          <w:sz w:val="20"/>
          <w:szCs w:val="20"/>
        </w:rPr>
        <w:t>15%</w:t>
      </w:r>
    </w:p>
    <w:p w:rsidR="0037303C" w:rsidRPr="00404CC6" w:rsidRDefault="00404CC6" w:rsidP="001200CF">
      <w:pPr>
        <w:tabs>
          <w:tab w:val="left" w:pos="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04CC6">
        <w:rPr>
          <w:rFonts w:ascii="Arial" w:hAnsi="Arial" w:cs="Arial"/>
          <w:b/>
          <w:sz w:val="20"/>
          <w:szCs w:val="20"/>
        </w:rPr>
        <w:t>2.</w:t>
      </w:r>
      <w:r w:rsidRPr="00404CC6">
        <w:rPr>
          <w:b/>
        </w:rPr>
        <w:t xml:space="preserve"> </w:t>
      </w:r>
      <w:r>
        <w:rPr>
          <w:b/>
        </w:rPr>
        <w:t>Plan of p</w:t>
      </w:r>
      <w:r w:rsidRPr="00404CC6">
        <w:rPr>
          <w:rFonts w:ascii="Arial" w:hAnsi="Arial" w:cs="Arial"/>
          <w:b/>
          <w:sz w:val="20"/>
          <w:szCs w:val="20"/>
        </w:rPr>
        <w:t xml:space="preserve">rofit </w:t>
      </w:r>
      <w:r>
        <w:rPr>
          <w:rFonts w:ascii="Arial" w:hAnsi="Arial" w:cs="Arial"/>
          <w:b/>
          <w:sz w:val="20"/>
          <w:szCs w:val="20"/>
        </w:rPr>
        <w:t xml:space="preserve">distribution </w:t>
      </w:r>
      <w:r w:rsidRPr="00404CC6">
        <w:rPr>
          <w:rFonts w:ascii="Arial" w:hAnsi="Arial" w:cs="Arial"/>
          <w:b/>
          <w:sz w:val="20"/>
          <w:szCs w:val="20"/>
        </w:rPr>
        <w:t>and dividend distribution plan</w:t>
      </w:r>
    </w:p>
    <w:tbl>
      <w:tblPr>
        <w:tblW w:w="8280" w:type="dxa"/>
        <w:tblInd w:w="828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520"/>
      </w:tblGrid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a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, Profit after tax in 2016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404CC6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25.007.943.030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b</w:t>
            </w:r>
            <w:r w:rsidR="00D678D9" w:rsidRPr="001C5578">
              <w:rPr>
                <w:rFonts w:ascii="Arial" w:hAnsi="Arial" w:cs="Arial"/>
                <w:sz w:val="20"/>
                <w:szCs w:val="20"/>
              </w:rPr>
              <w:t>, Exempted inco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me tax 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021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621.983.996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c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4A2A" w:rsidRPr="001C5578">
              <w:rPr>
                <w:rFonts w:ascii="Arial" w:hAnsi="Arial" w:cs="Arial"/>
                <w:sz w:val="20"/>
                <w:szCs w:val="20"/>
              </w:rPr>
              <w:t xml:space="preserve">Profit after 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tax in 2016 (a-b)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24.385.959.034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d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4A2A" w:rsidRPr="001C5578">
              <w:rPr>
                <w:rFonts w:ascii="Arial" w:hAnsi="Arial" w:cs="Arial"/>
                <w:sz w:val="20"/>
                <w:szCs w:val="20"/>
              </w:rPr>
              <w:t>D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eduction of funds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9.557.943.030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d</w:t>
            </w:r>
            <w:r w:rsidR="001D40ED" w:rsidRPr="001C5578"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Deduction for development investment fund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7.119.347.127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Su</w:t>
            </w:r>
            <w:r w:rsidR="00BD76CD" w:rsidRPr="001C5578">
              <w:rPr>
                <w:rFonts w:ascii="Arial" w:hAnsi="Arial" w:cs="Arial"/>
                <w:sz w:val="20"/>
                <w:szCs w:val="20"/>
              </w:rPr>
              <w:t>pplement from exempted business</w:t>
            </w:r>
            <w:r w:rsidRPr="001C5578">
              <w:rPr>
                <w:rFonts w:ascii="Arial" w:hAnsi="Arial" w:cs="Arial"/>
                <w:sz w:val="20"/>
                <w:szCs w:val="20"/>
              </w:rPr>
              <w:t xml:space="preserve"> income tax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621.983.996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</w:t>
            </w:r>
            <w:r w:rsidR="000D1CAA" w:rsidRPr="001C5578">
              <w:rPr>
                <w:rFonts w:ascii="Arial" w:hAnsi="Arial" w:cs="Arial"/>
                <w:sz w:val="20"/>
                <w:szCs w:val="20"/>
              </w:rPr>
              <w:t xml:space="preserve"> Deduction for </w:t>
            </w:r>
            <w:r w:rsidRPr="001C5578">
              <w:rPr>
                <w:rFonts w:ascii="Arial" w:hAnsi="Arial" w:cs="Arial"/>
                <w:sz w:val="20"/>
                <w:szCs w:val="20"/>
              </w:rPr>
              <w:t>additional development investment fund (cx26,643%)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6.497.363.131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d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2, Bonus and welfare funds (10% x </w:t>
            </w:r>
            <w:r w:rsidR="00BD76CD" w:rsidRPr="001C5578">
              <w:rPr>
                <w:rFonts w:ascii="Arial" w:hAnsi="Arial" w:cs="Arial"/>
                <w:sz w:val="20"/>
                <w:szCs w:val="20"/>
              </w:rPr>
              <w:t xml:space="preserve">profit after 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tax)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2.438.595.903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e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081E" w:rsidRPr="001C5578">
              <w:rPr>
                <w:rFonts w:ascii="Arial" w:hAnsi="Arial" w:cs="Arial"/>
                <w:sz w:val="20"/>
                <w:szCs w:val="20"/>
              </w:rPr>
              <w:t>Remaining p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rofit in 2016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15.450.000.000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f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, Charter</w:t>
            </w:r>
            <w:r w:rsidRPr="001C5578">
              <w:rPr>
                <w:rFonts w:ascii="Arial" w:hAnsi="Arial" w:cs="Arial"/>
                <w:sz w:val="20"/>
                <w:szCs w:val="20"/>
              </w:rPr>
              <w:t>ed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 capital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103.000.000.000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0B081E" w:rsidRPr="001C5578">
              <w:rPr>
                <w:rFonts w:ascii="Arial" w:hAnsi="Arial" w:cs="Arial"/>
                <w:sz w:val="20"/>
                <w:szCs w:val="20"/>
              </w:rPr>
              <w:t xml:space="preserve">Dividend </w:t>
            </w:r>
            <w:r w:rsidR="000D1CAA" w:rsidRPr="001C5578">
              <w:rPr>
                <w:rFonts w:ascii="Arial" w:hAnsi="Arial" w:cs="Arial"/>
                <w:sz w:val="20"/>
                <w:szCs w:val="20"/>
              </w:rPr>
              <w:t>p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rofit in 2016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8A0F23" w:rsidP="001C5578">
            <w:pPr>
              <w:tabs>
                <w:tab w:val="left" w:pos="1980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04CC6" w:rsidRPr="001C5578">
              <w:rPr>
                <w:rFonts w:ascii="Arial" w:hAnsi="Arial" w:cs="Arial"/>
                <w:sz w:val="20"/>
                <w:szCs w:val="20"/>
              </w:rPr>
              <w:t>15.450.000.000</w:t>
            </w:r>
          </w:p>
        </w:tc>
      </w:tr>
      <w:tr w:rsidR="009E1950" w:rsidRPr="001C5578" w:rsidTr="001C5578">
        <w:tc>
          <w:tcPr>
            <w:tcW w:w="5760" w:type="dxa"/>
            <w:shd w:val="clear" w:color="auto" w:fill="auto"/>
          </w:tcPr>
          <w:p w:rsidR="009E1950" w:rsidRPr="001C5578" w:rsidRDefault="008A0F23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h, D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ividend rate</w:t>
            </w:r>
          </w:p>
        </w:tc>
        <w:tc>
          <w:tcPr>
            <w:tcW w:w="2520" w:type="dxa"/>
            <w:shd w:val="clear" w:color="auto" w:fill="auto"/>
          </w:tcPr>
          <w:p w:rsidR="009E1950" w:rsidRPr="001C5578" w:rsidRDefault="009E1950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</w:tbl>
    <w:p w:rsidR="009E1950" w:rsidRPr="00517640" w:rsidRDefault="009E1950" w:rsidP="00CD3C1C">
      <w:pPr>
        <w:tabs>
          <w:tab w:val="left" w:pos="1980"/>
        </w:tabs>
        <w:spacing w:before="60" w:after="60"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</w:p>
    <w:p w:rsidR="009E1950" w:rsidRPr="00B3344C" w:rsidRDefault="00B3344C" w:rsidP="001200CF">
      <w:pPr>
        <w:tabs>
          <w:tab w:val="left" w:pos="144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3344C">
        <w:rPr>
          <w:rFonts w:ascii="Arial" w:hAnsi="Arial" w:cs="Arial"/>
          <w:b/>
          <w:sz w:val="20"/>
          <w:szCs w:val="20"/>
        </w:rPr>
        <w:t xml:space="preserve">3. </w:t>
      </w:r>
      <w:r w:rsidR="009E1950" w:rsidRPr="00B3344C">
        <w:rPr>
          <w:rFonts w:ascii="Arial" w:hAnsi="Arial" w:cs="Arial"/>
          <w:b/>
          <w:sz w:val="20"/>
          <w:szCs w:val="20"/>
        </w:rPr>
        <w:t xml:space="preserve">Report on the remuneration of the Board of Directors and Board </w:t>
      </w:r>
      <w:r w:rsidR="001200CF">
        <w:rPr>
          <w:rFonts w:ascii="Arial" w:hAnsi="Arial" w:cs="Arial"/>
          <w:b/>
          <w:sz w:val="20"/>
          <w:szCs w:val="20"/>
        </w:rPr>
        <w:t xml:space="preserve">of Supervisors </w:t>
      </w:r>
      <w:r w:rsidR="009E1950" w:rsidRPr="00B3344C">
        <w:rPr>
          <w:rFonts w:ascii="Arial" w:hAnsi="Arial" w:cs="Arial"/>
          <w:b/>
          <w:sz w:val="20"/>
          <w:szCs w:val="20"/>
        </w:rPr>
        <w:t>in 2016:</w:t>
      </w:r>
    </w:p>
    <w:p w:rsidR="009E1950" w:rsidRPr="00517640" w:rsidRDefault="00A60E43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Estimated remuneration t</w:t>
      </w:r>
      <w:r w:rsidR="009E1950" w:rsidRPr="00517640">
        <w:rPr>
          <w:rFonts w:ascii="Arial" w:hAnsi="Arial" w:cs="Arial"/>
          <w:sz w:val="20"/>
          <w:szCs w:val="20"/>
        </w:rPr>
        <w:t xml:space="preserve">he Board of Directors, the </w:t>
      </w:r>
      <w:r>
        <w:rPr>
          <w:rFonts w:ascii="Arial" w:hAnsi="Arial" w:cs="Arial"/>
          <w:sz w:val="20"/>
          <w:szCs w:val="20"/>
        </w:rPr>
        <w:t>Board of Supervi</w:t>
      </w:r>
      <w:r w:rsidR="003C2BFE">
        <w:rPr>
          <w:rFonts w:ascii="Arial" w:hAnsi="Arial" w:cs="Arial"/>
          <w:sz w:val="20"/>
          <w:szCs w:val="20"/>
        </w:rPr>
        <w:t>sors in 2016 is VND 720,000,000;</w:t>
      </w:r>
    </w:p>
    <w:p w:rsidR="009E1950" w:rsidRPr="00517640" w:rsidRDefault="00604EC7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</w:t>
      </w:r>
      <w:r w:rsidR="00F644AB">
        <w:rPr>
          <w:rFonts w:ascii="Arial" w:hAnsi="Arial" w:cs="Arial"/>
          <w:sz w:val="20"/>
          <w:szCs w:val="20"/>
        </w:rPr>
        <w:t xml:space="preserve"> salaries, </w:t>
      </w:r>
      <w:r w:rsidR="009E1950" w:rsidRPr="00517640">
        <w:rPr>
          <w:rFonts w:ascii="Arial" w:hAnsi="Arial" w:cs="Arial"/>
          <w:sz w:val="20"/>
          <w:szCs w:val="20"/>
        </w:rPr>
        <w:t xml:space="preserve">remunerations of members of the Board of Directors and members of the Board of </w:t>
      </w:r>
      <w:r w:rsidR="00F644AB" w:rsidRPr="00517640">
        <w:rPr>
          <w:rFonts w:ascii="Arial" w:hAnsi="Arial" w:cs="Arial"/>
          <w:sz w:val="20"/>
          <w:szCs w:val="20"/>
        </w:rPr>
        <w:t>Supervisor</w:t>
      </w:r>
      <w:r w:rsidR="00F644AB">
        <w:rPr>
          <w:rFonts w:ascii="Arial" w:hAnsi="Arial" w:cs="Arial"/>
          <w:sz w:val="20"/>
          <w:szCs w:val="20"/>
        </w:rPr>
        <w:t>s</w:t>
      </w:r>
      <w:r w:rsidR="00F644AB" w:rsidRPr="00517640">
        <w:rPr>
          <w:rFonts w:ascii="Arial" w:hAnsi="Arial" w:cs="Arial"/>
          <w:sz w:val="20"/>
          <w:szCs w:val="20"/>
        </w:rPr>
        <w:t xml:space="preserve"> </w:t>
      </w:r>
      <w:r w:rsidR="00F644AB">
        <w:rPr>
          <w:rFonts w:ascii="Arial" w:hAnsi="Arial" w:cs="Arial"/>
          <w:sz w:val="20"/>
          <w:szCs w:val="20"/>
        </w:rPr>
        <w:t>of Song Da</w:t>
      </w:r>
      <w:r w:rsidR="009E1950" w:rsidRPr="00517640">
        <w:rPr>
          <w:rFonts w:ascii="Arial" w:hAnsi="Arial" w:cs="Arial"/>
          <w:sz w:val="20"/>
          <w:szCs w:val="20"/>
        </w:rPr>
        <w:t xml:space="preserve"> 4 </w:t>
      </w:r>
      <w:r w:rsidR="00F644AB">
        <w:rPr>
          <w:rFonts w:ascii="Arial" w:hAnsi="Arial" w:cs="Arial"/>
          <w:sz w:val="20"/>
          <w:szCs w:val="20"/>
        </w:rPr>
        <w:t xml:space="preserve">Joint Stock Company </w:t>
      </w:r>
      <w:r w:rsidR="009E1950" w:rsidRPr="00517640">
        <w:rPr>
          <w:rFonts w:ascii="Arial" w:hAnsi="Arial" w:cs="Arial"/>
          <w:sz w:val="20"/>
          <w:szCs w:val="20"/>
        </w:rPr>
        <w:t>in 2016: VND 232,000,000</w:t>
      </w:r>
      <w:r w:rsidR="00F644AB">
        <w:rPr>
          <w:rFonts w:ascii="Arial" w:hAnsi="Arial" w:cs="Arial"/>
          <w:sz w:val="20"/>
          <w:szCs w:val="20"/>
        </w:rPr>
        <w:t>;</w:t>
      </w:r>
    </w:p>
    <w:p w:rsidR="009E1950" w:rsidRPr="00517640" w:rsidRDefault="009E1950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Unpaid expenses: </w:t>
      </w:r>
      <w:r w:rsidR="00604EC7">
        <w:rPr>
          <w:rFonts w:ascii="Arial" w:hAnsi="Arial" w:cs="Arial"/>
          <w:sz w:val="20"/>
          <w:szCs w:val="20"/>
        </w:rPr>
        <w:t xml:space="preserve">VND </w:t>
      </w:r>
      <w:r w:rsidR="000D65A7">
        <w:rPr>
          <w:rFonts w:ascii="Arial" w:hAnsi="Arial" w:cs="Arial"/>
          <w:sz w:val="20"/>
          <w:szCs w:val="20"/>
        </w:rPr>
        <w:t>4</w:t>
      </w:r>
      <w:r w:rsidRPr="00517640">
        <w:rPr>
          <w:rFonts w:ascii="Arial" w:hAnsi="Arial" w:cs="Arial"/>
          <w:sz w:val="20"/>
          <w:szCs w:val="20"/>
        </w:rPr>
        <w:t>8</w:t>
      </w:r>
      <w:r w:rsidR="00604EC7">
        <w:rPr>
          <w:rFonts w:ascii="Arial" w:hAnsi="Arial" w:cs="Arial"/>
          <w:sz w:val="20"/>
          <w:szCs w:val="20"/>
        </w:rPr>
        <w:t>8,000,000</w:t>
      </w:r>
      <w:r w:rsidRPr="00517640">
        <w:rPr>
          <w:rFonts w:ascii="Arial" w:hAnsi="Arial" w:cs="Arial"/>
          <w:sz w:val="20"/>
          <w:szCs w:val="20"/>
        </w:rPr>
        <w:t xml:space="preserve"> is the remuneration of the members of the Board of Directors and </w:t>
      </w:r>
      <w:r w:rsidR="008E520A">
        <w:rPr>
          <w:rFonts w:ascii="Arial" w:hAnsi="Arial" w:cs="Arial"/>
          <w:sz w:val="20"/>
          <w:szCs w:val="20"/>
        </w:rPr>
        <w:t>executive</w:t>
      </w:r>
      <w:r w:rsidR="00904141">
        <w:rPr>
          <w:rFonts w:ascii="Arial" w:hAnsi="Arial" w:cs="Arial"/>
          <w:sz w:val="20"/>
          <w:szCs w:val="20"/>
        </w:rPr>
        <w:t xml:space="preserve"> </w:t>
      </w:r>
      <w:r w:rsidR="000D65A7" w:rsidRPr="00517640">
        <w:rPr>
          <w:rFonts w:ascii="Arial" w:hAnsi="Arial" w:cs="Arial"/>
          <w:sz w:val="20"/>
          <w:szCs w:val="20"/>
        </w:rPr>
        <w:t>Board of Supervisor</w:t>
      </w:r>
      <w:r w:rsidR="000D65A7">
        <w:rPr>
          <w:rFonts w:ascii="Arial" w:hAnsi="Arial" w:cs="Arial"/>
          <w:sz w:val="20"/>
          <w:szCs w:val="20"/>
        </w:rPr>
        <w:t>s</w:t>
      </w:r>
      <w:r w:rsidR="000D65A7" w:rsidRPr="00517640">
        <w:rPr>
          <w:rFonts w:ascii="Arial" w:hAnsi="Arial" w:cs="Arial"/>
          <w:sz w:val="20"/>
          <w:szCs w:val="20"/>
        </w:rPr>
        <w:t xml:space="preserve"> </w:t>
      </w:r>
      <w:r w:rsidR="00B87A6C">
        <w:rPr>
          <w:rFonts w:ascii="Arial" w:hAnsi="Arial" w:cs="Arial"/>
          <w:sz w:val="20"/>
          <w:szCs w:val="20"/>
        </w:rPr>
        <w:t>who are paid at the company</w:t>
      </w:r>
      <w:r w:rsidRPr="00517640">
        <w:rPr>
          <w:rFonts w:ascii="Arial" w:hAnsi="Arial" w:cs="Arial"/>
          <w:sz w:val="20"/>
          <w:szCs w:val="20"/>
        </w:rPr>
        <w:t xml:space="preserve"> so they are not entitled to remuneration.</w:t>
      </w:r>
    </w:p>
    <w:p w:rsidR="009E1950" w:rsidRPr="00517640" w:rsidRDefault="00550BEC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</w:t>
      </w:r>
      <w:r w:rsidR="000D1CA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</w:t>
      </w:r>
      <w:r w:rsidR="009E1950" w:rsidRPr="00517640">
        <w:rPr>
          <w:rFonts w:ascii="Arial" w:hAnsi="Arial" w:cs="Arial"/>
          <w:sz w:val="20"/>
          <w:szCs w:val="20"/>
        </w:rPr>
        <w:t>s follows:</w:t>
      </w:r>
    </w:p>
    <w:p w:rsidR="009E1950" w:rsidRPr="00517640" w:rsidRDefault="00C93435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8E520A">
        <w:rPr>
          <w:rFonts w:ascii="Arial" w:hAnsi="Arial" w:cs="Arial"/>
          <w:sz w:val="20"/>
          <w:szCs w:val="20"/>
        </w:rPr>
        <w:t>Executive</w:t>
      </w:r>
      <w:r>
        <w:rPr>
          <w:rFonts w:ascii="Arial" w:hAnsi="Arial" w:cs="Arial"/>
          <w:sz w:val="20"/>
          <w:szCs w:val="20"/>
        </w:rPr>
        <w:t xml:space="preserve"> Chairman</w:t>
      </w:r>
      <w:r w:rsidR="009E1950" w:rsidRPr="00517640">
        <w:rPr>
          <w:rFonts w:ascii="Arial" w:hAnsi="Arial" w:cs="Arial"/>
          <w:sz w:val="20"/>
          <w:szCs w:val="20"/>
        </w:rPr>
        <w:t xml:space="preserve"> of Board of Directors:</w:t>
      </w:r>
    </w:p>
    <w:p w:rsidR="009E1950" w:rsidRPr="00517640" w:rsidRDefault="009E1950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VND 10,</w:t>
      </w:r>
      <w:r w:rsidR="00093BBD">
        <w:rPr>
          <w:rFonts w:ascii="Arial" w:hAnsi="Arial" w:cs="Arial"/>
          <w:sz w:val="20"/>
          <w:szCs w:val="20"/>
        </w:rPr>
        <w:t>000,000/</w:t>
      </w:r>
      <w:r w:rsidR="000D14EC">
        <w:rPr>
          <w:rFonts w:ascii="Arial" w:hAnsi="Arial" w:cs="Arial"/>
          <w:sz w:val="20"/>
          <w:szCs w:val="20"/>
        </w:rPr>
        <w:t>month x 12 months = VND 120.000.</w:t>
      </w:r>
      <w:r w:rsidRPr="00517640">
        <w:rPr>
          <w:rFonts w:ascii="Arial" w:hAnsi="Arial" w:cs="Arial"/>
          <w:sz w:val="20"/>
          <w:szCs w:val="20"/>
        </w:rPr>
        <w:t>000.</w:t>
      </w:r>
    </w:p>
    <w:p w:rsidR="009E1950" w:rsidRPr="00517640" w:rsidRDefault="009E1950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</w:t>
      </w:r>
      <w:r w:rsidR="00093BBD" w:rsidRPr="00093BBD">
        <w:rPr>
          <w:rFonts w:ascii="Arial" w:hAnsi="Arial" w:cs="Arial"/>
          <w:sz w:val="20"/>
          <w:szCs w:val="20"/>
        </w:rPr>
        <w:t xml:space="preserve"> </w:t>
      </w:r>
      <w:r w:rsidR="00093BBD">
        <w:rPr>
          <w:rFonts w:ascii="Arial" w:hAnsi="Arial" w:cs="Arial"/>
          <w:sz w:val="20"/>
          <w:szCs w:val="20"/>
        </w:rPr>
        <w:t>Non-</w:t>
      </w:r>
      <w:r w:rsidR="008E520A">
        <w:rPr>
          <w:rFonts w:ascii="Arial" w:hAnsi="Arial" w:cs="Arial"/>
          <w:sz w:val="20"/>
          <w:szCs w:val="20"/>
        </w:rPr>
        <w:t>executive</w:t>
      </w:r>
      <w:r w:rsidR="00093BBD">
        <w:rPr>
          <w:rFonts w:ascii="Arial" w:hAnsi="Arial" w:cs="Arial"/>
          <w:sz w:val="20"/>
          <w:szCs w:val="20"/>
        </w:rPr>
        <w:t xml:space="preserve"> </w:t>
      </w:r>
      <w:r w:rsidR="008E520A">
        <w:rPr>
          <w:rFonts w:ascii="Arial" w:hAnsi="Arial" w:cs="Arial"/>
          <w:sz w:val="20"/>
          <w:szCs w:val="20"/>
        </w:rPr>
        <w:t>Chief of Board of Supervisors</w:t>
      </w:r>
      <w:r w:rsidRPr="00517640">
        <w:rPr>
          <w:rFonts w:ascii="Arial" w:hAnsi="Arial" w:cs="Arial"/>
          <w:sz w:val="20"/>
          <w:szCs w:val="20"/>
        </w:rPr>
        <w:t>:</w:t>
      </w:r>
    </w:p>
    <w:p w:rsidR="009E1950" w:rsidRPr="00517640" w:rsidRDefault="00093BBD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VND 8,000,000 /</w:t>
      </w:r>
      <w:r w:rsidR="000D14EC">
        <w:rPr>
          <w:rFonts w:ascii="Arial" w:hAnsi="Arial" w:cs="Arial"/>
          <w:sz w:val="20"/>
          <w:szCs w:val="20"/>
        </w:rPr>
        <w:t>month x 4 months = VND 32.000.</w:t>
      </w:r>
      <w:r w:rsidR="009E1950" w:rsidRPr="00517640">
        <w:rPr>
          <w:rFonts w:ascii="Arial" w:hAnsi="Arial" w:cs="Arial"/>
          <w:sz w:val="20"/>
          <w:szCs w:val="20"/>
        </w:rPr>
        <w:t>000.</w:t>
      </w:r>
    </w:p>
    <w:p w:rsidR="009E1950" w:rsidRPr="00517640" w:rsidRDefault="009E1950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 Supervisor:</w:t>
      </w:r>
    </w:p>
    <w:p w:rsidR="00604EC7" w:rsidRDefault="00093BBD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5,000,000 VND/</w:t>
      </w:r>
      <w:r w:rsidR="00E02DB1">
        <w:rPr>
          <w:rFonts w:ascii="Arial" w:hAnsi="Arial" w:cs="Arial"/>
          <w:sz w:val="20"/>
          <w:szCs w:val="20"/>
        </w:rPr>
        <w:t>person/</w:t>
      </w:r>
      <w:r w:rsidR="009E1950" w:rsidRPr="00517640">
        <w:rPr>
          <w:rFonts w:ascii="Arial" w:hAnsi="Arial" w:cs="Arial"/>
          <w:sz w:val="20"/>
          <w:szCs w:val="20"/>
        </w:rPr>
        <w:t xml:space="preserve">month x 2 people x 8 months = </w:t>
      </w:r>
      <w:r w:rsidR="00604EC7" w:rsidRPr="00517640">
        <w:rPr>
          <w:rFonts w:ascii="Arial" w:hAnsi="Arial" w:cs="Arial"/>
          <w:sz w:val="20"/>
          <w:szCs w:val="20"/>
        </w:rPr>
        <w:t xml:space="preserve">VND </w:t>
      </w:r>
      <w:r w:rsidR="009E1950" w:rsidRPr="00517640">
        <w:rPr>
          <w:rFonts w:ascii="Arial" w:hAnsi="Arial" w:cs="Arial"/>
          <w:sz w:val="20"/>
          <w:szCs w:val="20"/>
        </w:rPr>
        <w:t>8</w:t>
      </w:r>
      <w:r w:rsidR="000D14EC">
        <w:rPr>
          <w:rFonts w:ascii="Arial" w:hAnsi="Arial" w:cs="Arial"/>
          <w:sz w:val="20"/>
          <w:szCs w:val="20"/>
        </w:rPr>
        <w:t>0.000.</w:t>
      </w:r>
      <w:r w:rsidR="009E1950" w:rsidRPr="00517640">
        <w:rPr>
          <w:rFonts w:ascii="Arial" w:hAnsi="Arial" w:cs="Arial"/>
          <w:sz w:val="20"/>
          <w:szCs w:val="20"/>
        </w:rPr>
        <w:t>000</w:t>
      </w:r>
    </w:p>
    <w:p w:rsidR="006629A4" w:rsidRPr="00093BBD" w:rsidRDefault="00604EC7" w:rsidP="00CD3C1C">
      <w:pPr>
        <w:tabs>
          <w:tab w:val="left" w:pos="1980"/>
          <w:tab w:val="left" w:pos="4610"/>
        </w:tabs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93BBD">
        <w:rPr>
          <w:rFonts w:ascii="Arial" w:hAnsi="Arial" w:cs="Arial"/>
          <w:b/>
          <w:sz w:val="20"/>
          <w:szCs w:val="20"/>
        </w:rPr>
        <w:t xml:space="preserve"> </w:t>
      </w:r>
      <w:r w:rsidR="009E1950" w:rsidRPr="00093BBD">
        <w:rPr>
          <w:rFonts w:ascii="Arial" w:hAnsi="Arial" w:cs="Arial"/>
          <w:b/>
          <w:sz w:val="20"/>
          <w:szCs w:val="20"/>
        </w:rPr>
        <w:t>4. Production and business plan for 2017</w:t>
      </w:r>
      <w:r w:rsidR="0037303C" w:rsidRPr="00093BBD">
        <w:rPr>
          <w:rFonts w:ascii="Arial" w:hAnsi="Arial" w:cs="Arial"/>
          <w:b/>
          <w:sz w:val="20"/>
          <w:szCs w:val="20"/>
        </w:rPr>
        <w:t>:</w:t>
      </w:r>
      <w:r w:rsidR="006629A4" w:rsidRPr="00093BBD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Total production value: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F22015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855,00 </w:t>
            </w:r>
            <w:r w:rsidRPr="001C5578">
              <w:rPr>
                <w:rFonts w:ascii="Arial" w:hAnsi="Arial" w:cs="Arial"/>
                <w:sz w:val="20"/>
                <w:szCs w:val="20"/>
              </w:rPr>
              <w:t>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Revenue: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813,65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1B5D21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Pay to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 budget: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 xml:space="preserve">48,621 </w:t>
            </w:r>
            <w:r w:rsidRPr="001C5578">
              <w:rPr>
                <w:rFonts w:ascii="Arial" w:hAnsi="Arial" w:cs="Arial"/>
                <w:sz w:val="20"/>
                <w:szCs w:val="20"/>
              </w:rPr>
              <w:t>billion</w:t>
            </w:r>
          </w:p>
        </w:tc>
      </w:tr>
      <w:tr w:rsidR="000817CF" w:rsidRPr="001C5578" w:rsidTr="001C5578">
        <w:tc>
          <w:tcPr>
            <w:tcW w:w="4428" w:type="dxa"/>
            <w:shd w:val="clear" w:color="auto" w:fill="auto"/>
          </w:tcPr>
          <w:p w:rsidR="000817CF" w:rsidRPr="001C5578" w:rsidRDefault="00B41149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17CF" w:rsidRPr="001C5578">
              <w:rPr>
                <w:rFonts w:ascii="Arial" w:hAnsi="Arial" w:cs="Arial"/>
                <w:sz w:val="20"/>
                <w:szCs w:val="20"/>
              </w:rPr>
              <w:t>Profit:</w:t>
            </w:r>
          </w:p>
        </w:tc>
        <w:tc>
          <w:tcPr>
            <w:tcW w:w="4428" w:type="dxa"/>
            <w:shd w:val="clear" w:color="auto" w:fill="auto"/>
          </w:tcPr>
          <w:p w:rsidR="000817CF" w:rsidRPr="001C5578" w:rsidRDefault="000817CF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+ Profit before tax: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33,86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+ Profit after tax: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29,44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3FE9" w:rsidRPr="001C5578">
              <w:rPr>
                <w:rFonts w:ascii="Arial" w:hAnsi="Arial" w:cs="Arial"/>
                <w:sz w:val="20"/>
                <w:szCs w:val="20"/>
              </w:rPr>
              <w:t>Owner’s e</w:t>
            </w:r>
            <w:r w:rsidRPr="001C5578">
              <w:rPr>
                <w:rFonts w:ascii="Arial" w:hAnsi="Arial" w:cs="Arial"/>
                <w:sz w:val="20"/>
                <w:szCs w:val="20"/>
              </w:rPr>
              <w:t>quity: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163,86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Charter</w:t>
            </w:r>
            <w:r w:rsidR="009E3FE9" w:rsidRPr="001C5578">
              <w:rPr>
                <w:rFonts w:ascii="Arial" w:hAnsi="Arial" w:cs="Arial"/>
                <w:sz w:val="20"/>
                <w:szCs w:val="20"/>
              </w:rPr>
              <w:t>ed</w:t>
            </w:r>
            <w:r w:rsidRPr="001C5578">
              <w:rPr>
                <w:rFonts w:ascii="Arial" w:hAnsi="Arial" w:cs="Arial"/>
                <w:sz w:val="20"/>
                <w:szCs w:val="20"/>
              </w:rPr>
              <w:t xml:space="preserve"> capital: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103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3FE9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Total asset</w:t>
            </w:r>
            <w:r w:rsidR="00E02DB1" w:rsidRPr="001C5578">
              <w:rPr>
                <w:rFonts w:ascii="Arial" w:hAnsi="Arial" w:cs="Arial"/>
                <w:sz w:val="20"/>
                <w:szCs w:val="20"/>
              </w:rPr>
              <w:t>s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875 billion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Expected dividend rate: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12÷15%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Average income: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8,6 million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/</w:t>
            </w:r>
            <w:r w:rsidRPr="001C5578">
              <w:rPr>
                <w:rFonts w:ascii="Arial" w:hAnsi="Arial" w:cs="Arial"/>
                <w:sz w:val="20"/>
                <w:szCs w:val="20"/>
              </w:rPr>
              <w:t>person</w:t>
            </w:r>
            <w:r w:rsidR="009E1950" w:rsidRPr="001C5578">
              <w:rPr>
                <w:rFonts w:ascii="Arial" w:hAnsi="Arial" w:cs="Arial"/>
                <w:sz w:val="20"/>
                <w:szCs w:val="20"/>
              </w:rPr>
              <w:t>/</w:t>
            </w:r>
            <w:r w:rsidRPr="001C5578"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</w:tr>
      <w:tr w:rsidR="009E1950" w:rsidRPr="001C5578" w:rsidTr="001C5578">
        <w:tc>
          <w:tcPr>
            <w:tcW w:w="4428" w:type="dxa"/>
            <w:shd w:val="clear" w:color="auto" w:fill="auto"/>
          </w:tcPr>
          <w:p w:rsidR="009E1950" w:rsidRPr="001C5578" w:rsidRDefault="009E1950" w:rsidP="001C5578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Investment plan:</w:t>
            </w:r>
          </w:p>
        </w:tc>
        <w:tc>
          <w:tcPr>
            <w:tcW w:w="4428" w:type="dxa"/>
            <w:shd w:val="clear" w:color="auto" w:fill="auto"/>
          </w:tcPr>
          <w:p w:rsidR="009E1950" w:rsidRPr="001C5578" w:rsidRDefault="00415D06" w:rsidP="001C5578">
            <w:pPr>
              <w:tabs>
                <w:tab w:val="left" w:pos="1980"/>
              </w:tabs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VND 41,7 billion</w:t>
            </w:r>
          </w:p>
        </w:tc>
      </w:tr>
    </w:tbl>
    <w:p w:rsidR="009E1950" w:rsidRPr="005E5DFF" w:rsidRDefault="0011734D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5DFF">
        <w:rPr>
          <w:rFonts w:ascii="Arial" w:hAnsi="Arial" w:cs="Arial"/>
          <w:b/>
          <w:sz w:val="20"/>
          <w:szCs w:val="20"/>
        </w:rPr>
        <w:t>5. Amend</w:t>
      </w:r>
      <w:r w:rsidR="009E1950" w:rsidRPr="005E5DFF">
        <w:rPr>
          <w:rFonts w:ascii="Arial" w:hAnsi="Arial" w:cs="Arial"/>
          <w:b/>
          <w:sz w:val="20"/>
          <w:szCs w:val="20"/>
        </w:rPr>
        <w:t xml:space="preserve"> the </w:t>
      </w:r>
      <w:r w:rsidRPr="005E5DFF">
        <w:rPr>
          <w:rFonts w:ascii="Arial" w:hAnsi="Arial" w:cs="Arial"/>
          <w:b/>
          <w:sz w:val="20"/>
          <w:szCs w:val="20"/>
        </w:rPr>
        <w:t xml:space="preserve">operation </w:t>
      </w:r>
      <w:r w:rsidR="009E1950" w:rsidRPr="005E5DFF">
        <w:rPr>
          <w:rFonts w:ascii="Arial" w:hAnsi="Arial" w:cs="Arial"/>
          <w:b/>
          <w:sz w:val="20"/>
          <w:szCs w:val="20"/>
        </w:rPr>
        <w:t xml:space="preserve">charter </w:t>
      </w:r>
      <w:r w:rsidR="002D4C69" w:rsidRPr="005E5DFF">
        <w:rPr>
          <w:rFonts w:ascii="Arial" w:hAnsi="Arial" w:cs="Arial"/>
          <w:b/>
          <w:sz w:val="20"/>
          <w:szCs w:val="20"/>
        </w:rPr>
        <w:t>of Song</w:t>
      </w:r>
      <w:r w:rsidR="009E1950" w:rsidRPr="005E5DFF">
        <w:rPr>
          <w:rFonts w:ascii="Arial" w:hAnsi="Arial" w:cs="Arial"/>
          <w:b/>
          <w:sz w:val="20"/>
          <w:szCs w:val="20"/>
        </w:rPr>
        <w:t xml:space="preserve"> Da 4 Joint Stock Company:</w:t>
      </w:r>
    </w:p>
    <w:p w:rsidR="009E1950" w:rsidRPr="0051764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A</w:t>
      </w:r>
      <w:r w:rsidR="005E5DFF">
        <w:rPr>
          <w:rFonts w:ascii="Arial" w:hAnsi="Arial" w:cs="Arial"/>
          <w:sz w:val="20"/>
          <w:szCs w:val="20"/>
        </w:rPr>
        <w:t xml:space="preserve">pprove </w:t>
      </w:r>
      <w:r w:rsidRPr="00517640">
        <w:rPr>
          <w:rFonts w:ascii="Arial" w:hAnsi="Arial" w:cs="Arial"/>
          <w:sz w:val="20"/>
          <w:szCs w:val="20"/>
        </w:rPr>
        <w:t>the amendment of the charter of Song Da 4 Joint Stock Company as follows:</w:t>
      </w:r>
    </w:p>
    <w:p w:rsidR="009E1950" w:rsidRPr="0051764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+ Remove the logos symbol in Clause 1, Art</w:t>
      </w:r>
      <w:r w:rsidR="005E5DFF">
        <w:rPr>
          <w:rFonts w:ascii="Arial" w:hAnsi="Arial" w:cs="Arial"/>
          <w:sz w:val="20"/>
          <w:szCs w:val="20"/>
        </w:rPr>
        <w:t xml:space="preserve">icle 2 of the Regulation of </w:t>
      </w:r>
      <w:r w:rsidRPr="00517640">
        <w:rPr>
          <w:rFonts w:ascii="Arial" w:hAnsi="Arial" w:cs="Arial"/>
          <w:sz w:val="20"/>
          <w:szCs w:val="20"/>
        </w:rPr>
        <w:t>Song Da 4 Joint Stock Company.</w:t>
      </w:r>
    </w:p>
    <w:p w:rsidR="00D605EB" w:rsidRPr="00517640" w:rsidRDefault="00672E94" w:rsidP="00D605E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Amend Clause 1, A</w:t>
      </w:r>
      <w:r w:rsidR="007726A2">
        <w:rPr>
          <w:rFonts w:ascii="Arial" w:hAnsi="Arial" w:cs="Arial"/>
          <w:sz w:val="20"/>
          <w:szCs w:val="20"/>
        </w:rPr>
        <w:t xml:space="preserve">rticle 53: Effective date </w:t>
      </w:r>
      <w:r>
        <w:rPr>
          <w:rFonts w:ascii="Arial" w:hAnsi="Arial" w:cs="Arial"/>
          <w:sz w:val="20"/>
          <w:szCs w:val="20"/>
        </w:rPr>
        <w:t>as follows: This c</w:t>
      </w:r>
      <w:r w:rsidR="009E1950" w:rsidRPr="00517640">
        <w:rPr>
          <w:rFonts w:ascii="Arial" w:hAnsi="Arial" w:cs="Arial"/>
          <w:sz w:val="20"/>
          <w:szCs w:val="20"/>
        </w:rPr>
        <w:t>harter is composed of 21 chapters and 53 articles amende</w:t>
      </w:r>
      <w:r>
        <w:rPr>
          <w:rFonts w:ascii="Arial" w:hAnsi="Arial" w:cs="Arial"/>
          <w:sz w:val="20"/>
          <w:szCs w:val="20"/>
        </w:rPr>
        <w:t>d and supplemented for the 8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 w:rsidR="009E1950" w:rsidRPr="00517640">
        <w:rPr>
          <w:rFonts w:ascii="Arial" w:hAnsi="Arial" w:cs="Arial"/>
          <w:sz w:val="20"/>
          <w:szCs w:val="20"/>
        </w:rPr>
        <w:t xml:space="preserve"> (eight</w:t>
      </w:r>
      <w:r w:rsidR="007726A2">
        <w:rPr>
          <w:rFonts w:ascii="Arial" w:hAnsi="Arial" w:cs="Arial"/>
          <w:sz w:val="20"/>
          <w:szCs w:val="20"/>
        </w:rPr>
        <w:t>h</w:t>
      </w:r>
      <w:r w:rsidR="009E1950" w:rsidRPr="00517640">
        <w:rPr>
          <w:rFonts w:ascii="Arial" w:hAnsi="Arial" w:cs="Arial"/>
          <w:sz w:val="20"/>
          <w:szCs w:val="20"/>
        </w:rPr>
        <w:t xml:space="preserve">) and approved by the General Meeting of Shareholders of </w:t>
      </w:r>
      <w:r>
        <w:rPr>
          <w:rFonts w:ascii="Arial" w:hAnsi="Arial" w:cs="Arial"/>
          <w:sz w:val="20"/>
          <w:szCs w:val="20"/>
        </w:rPr>
        <w:t>Song Da 4</w:t>
      </w:r>
      <w:r w:rsidR="009E1950" w:rsidRPr="00517640">
        <w:rPr>
          <w:rFonts w:ascii="Arial" w:hAnsi="Arial" w:cs="Arial"/>
          <w:sz w:val="20"/>
          <w:szCs w:val="20"/>
        </w:rPr>
        <w:t xml:space="preserve"> Joint Stock Company</w:t>
      </w:r>
      <w:r w:rsidR="007726A2">
        <w:rPr>
          <w:rFonts w:ascii="Arial" w:hAnsi="Arial" w:cs="Arial"/>
          <w:sz w:val="20"/>
          <w:szCs w:val="20"/>
        </w:rPr>
        <w:t xml:space="preserve"> dated </w:t>
      </w:r>
      <w:r w:rsidR="009E1950" w:rsidRPr="00517640">
        <w:rPr>
          <w:rFonts w:ascii="Arial" w:hAnsi="Arial" w:cs="Arial"/>
          <w:sz w:val="20"/>
          <w:szCs w:val="20"/>
        </w:rPr>
        <w:t>April 28, 2017.</w:t>
      </w:r>
    </w:p>
    <w:p w:rsidR="009E1950" w:rsidRPr="00E34BE7" w:rsidRDefault="00E34BE7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E34BE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Select </w:t>
      </w:r>
      <w:r w:rsidR="009E1950" w:rsidRPr="00E34BE7">
        <w:rPr>
          <w:rFonts w:ascii="Arial" w:hAnsi="Arial" w:cs="Arial"/>
          <w:b/>
          <w:sz w:val="20"/>
          <w:szCs w:val="20"/>
        </w:rPr>
        <w:t xml:space="preserve">Auditing Company </w:t>
      </w:r>
      <w:r>
        <w:rPr>
          <w:rFonts w:ascii="Arial" w:hAnsi="Arial" w:cs="Arial"/>
          <w:b/>
          <w:sz w:val="20"/>
          <w:szCs w:val="20"/>
        </w:rPr>
        <w:t xml:space="preserve">to audit </w:t>
      </w:r>
      <w:r w:rsidR="009E1950" w:rsidRPr="00E34BE7">
        <w:rPr>
          <w:rFonts w:ascii="Arial" w:hAnsi="Arial" w:cs="Arial"/>
          <w:b/>
          <w:sz w:val="20"/>
          <w:szCs w:val="20"/>
        </w:rPr>
        <w:t>Financial Statement 2017</w:t>
      </w:r>
    </w:p>
    <w:p w:rsidR="009E1950" w:rsidRDefault="00D8543F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</w:t>
      </w:r>
      <w:r w:rsidR="009E1950" w:rsidRPr="00517640">
        <w:rPr>
          <w:rFonts w:ascii="Arial" w:hAnsi="Arial" w:cs="Arial"/>
          <w:sz w:val="20"/>
          <w:szCs w:val="20"/>
        </w:rPr>
        <w:t xml:space="preserve"> the selection of AAC Au</w:t>
      </w:r>
      <w:r>
        <w:rPr>
          <w:rFonts w:ascii="Arial" w:hAnsi="Arial" w:cs="Arial"/>
          <w:sz w:val="20"/>
          <w:szCs w:val="20"/>
        </w:rPr>
        <w:t xml:space="preserve">diting and Accounting Co., Ltd, - Add: </w:t>
      </w:r>
      <w:r w:rsidR="009E1950" w:rsidRPr="00517640">
        <w:rPr>
          <w:rFonts w:ascii="Arial" w:hAnsi="Arial" w:cs="Arial"/>
          <w:sz w:val="20"/>
          <w:szCs w:val="20"/>
        </w:rPr>
        <w:t xml:space="preserve">Lot 78-80, </w:t>
      </w:r>
      <w:r w:rsidR="00801FF8">
        <w:rPr>
          <w:rFonts w:ascii="Arial" w:hAnsi="Arial" w:cs="Arial"/>
          <w:sz w:val="20"/>
          <w:szCs w:val="20"/>
        </w:rPr>
        <w:t>30-</w:t>
      </w:r>
      <w:r>
        <w:rPr>
          <w:rFonts w:ascii="Arial" w:hAnsi="Arial" w:cs="Arial"/>
          <w:sz w:val="20"/>
          <w:szCs w:val="20"/>
        </w:rPr>
        <w:t xml:space="preserve">4 </w:t>
      </w:r>
      <w:r w:rsidR="00801FF8">
        <w:rPr>
          <w:rFonts w:ascii="Arial" w:hAnsi="Arial" w:cs="Arial"/>
          <w:sz w:val="20"/>
          <w:szCs w:val="20"/>
        </w:rPr>
        <w:t xml:space="preserve">Street, Hai Chau Dist, </w:t>
      </w:r>
      <w:r w:rsidR="009E1950" w:rsidRPr="00517640">
        <w:rPr>
          <w:rFonts w:ascii="Arial" w:hAnsi="Arial" w:cs="Arial"/>
          <w:sz w:val="20"/>
          <w:szCs w:val="20"/>
        </w:rPr>
        <w:t>Da</w:t>
      </w:r>
      <w:r w:rsidR="00801FF8">
        <w:rPr>
          <w:rFonts w:ascii="Arial" w:hAnsi="Arial" w:cs="Arial"/>
          <w:sz w:val="20"/>
          <w:szCs w:val="20"/>
        </w:rPr>
        <w:t xml:space="preserve"> </w:t>
      </w:r>
      <w:r w:rsidR="008E520A">
        <w:rPr>
          <w:rFonts w:ascii="Arial" w:hAnsi="Arial" w:cs="Arial"/>
          <w:sz w:val="20"/>
          <w:szCs w:val="20"/>
        </w:rPr>
        <w:t>N</w:t>
      </w:r>
      <w:r w:rsidR="009E1950" w:rsidRPr="00517640">
        <w:rPr>
          <w:rFonts w:ascii="Arial" w:hAnsi="Arial" w:cs="Arial"/>
          <w:sz w:val="20"/>
          <w:szCs w:val="20"/>
        </w:rPr>
        <w:t xml:space="preserve">ang </w:t>
      </w:r>
      <w:r w:rsidR="00801FF8">
        <w:rPr>
          <w:rFonts w:ascii="Arial" w:hAnsi="Arial" w:cs="Arial"/>
          <w:sz w:val="20"/>
          <w:szCs w:val="20"/>
        </w:rPr>
        <w:t>to be</w:t>
      </w:r>
      <w:r w:rsidR="009E1950" w:rsidRPr="00517640">
        <w:rPr>
          <w:rFonts w:ascii="Arial" w:hAnsi="Arial" w:cs="Arial"/>
          <w:sz w:val="20"/>
          <w:szCs w:val="20"/>
        </w:rPr>
        <w:t xml:space="preserve"> the unit that performs</w:t>
      </w:r>
      <w:r w:rsidR="00801FF8">
        <w:rPr>
          <w:rFonts w:ascii="Arial" w:hAnsi="Arial" w:cs="Arial"/>
          <w:sz w:val="20"/>
          <w:szCs w:val="20"/>
        </w:rPr>
        <w:t xml:space="preserve"> mid-year control and audits </w:t>
      </w:r>
      <w:r w:rsidR="009E1950" w:rsidRPr="00517640">
        <w:rPr>
          <w:rFonts w:ascii="Arial" w:hAnsi="Arial" w:cs="Arial"/>
          <w:sz w:val="20"/>
          <w:szCs w:val="20"/>
        </w:rPr>
        <w:t xml:space="preserve">financial statements </w:t>
      </w:r>
      <w:r w:rsidR="00801FF8">
        <w:rPr>
          <w:rFonts w:ascii="Arial" w:hAnsi="Arial" w:cs="Arial"/>
          <w:sz w:val="20"/>
          <w:szCs w:val="20"/>
        </w:rPr>
        <w:t>of Song Da 4</w:t>
      </w:r>
      <w:r w:rsidR="00801FF8" w:rsidRPr="00517640">
        <w:rPr>
          <w:rFonts w:ascii="Arial" w:hAnsi="Arial" w:cs="Arial"/>
          <w:sz w:val="20"/>
          <w:szCs w:val="20"/>
        </w:rPr>
        <w:t xml:space="preserve"> Joint Stock Company</w:t>
      </w:r>
      <w:r w:rsidR="00801FF8">
        <w:rPr>
          <w:rFonts w:ascii="Arial" w:hAnsi="Arial" w:cs="Arial"/>
          <w:sz w:val="20"/>
          <w:szCs w:val="20"/>
        </w:rPr>
        <w:t xml:space="preserve"> </w:t>
      </w:r>
      <w:r w:rsidR="009E1950" w:rsidRPr="00517640">
        <w:rPr>
          <w:rFonts w:ascii="Arial" w:hAnsi="Arial" w:cs="Arial"/>
          <w:sz w:val="20"/>
          <w:szCs w:val="20"/>
        </w:rPr>
        <w:t>in 2017</w:t>
      </w:r>
      <w:r w:rsidR="00801FF8">
        <w:rPr>
          <w:rFonts w:ascii="Arial" w:hAnsi="Arial" w:cs="Arial"/>
          <w:sz w:val="20"/>
          <w:szCs w:val="20"/>
        </w:rPr>
        <w:t>.</w:t>
      </w:r>
    </w:p>
    <w:p w:rsidR="009E1950" w:rsidRPr="00602360" w:rsidRDefault="00602360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02360">
        <w:rPr>
          <w:rFonts w:ascii="Arial" w:hAnsi="Arial" w:cs="Arial"/>
          <w:b/>
          <w:sz w:val="20"/>
          <w:szCs w:val="20"/>
        </w:rPr>
        <w:t>7. A</w:t>
      </w:r>
      <w:r w:rsidR="009E1950" w:rsidRPr="00602360">
        <w:rPr>
          <w:rFonts w:ascii="Arial" w:hAnsi="Arial" w:cs="Arial"/>
          <w:b/>
          <w:sz w:val="20"/>
          <w:szCs w:val="20"/>
        </w:rPr>
        <w:t>uthorize the Board</w:t>
      </w:r>
      <w:r w:rsidRPr="00602360">
        <w:rPr>
          <w:rFonts w:ascii="Arial" w:hAnsi="Arial" w:cs="Arial"/>
          <w:b/>
          <w:sz w:val="20"/>
          <w:szCs w:val="20"/>
        </w:rPr>
        <w:t xml:space="preserve"> of Directors</w:t>
      </w:r>
      <w:r w:rsidR="009E1950" w:rsidRPr="00602360">
        <w:rPr>
          <w:rFonts w:ascii="Arial" w:hAnsi="Arial" w:cs="Arial"/>
          <w:b/>
          <w:sz w:val="20"/>
          <w:szCs w:val="20"/>
        </w:rPr>
        <w:t xml:space="preserve"> to approve contracts and tr</w:t>
      </w:r>
      <w:r w:rsidRPr="00602360">
        <w:rPr>
          <w:rFonts w:ascii="Arial" w:hAnsi="Arial" w:cs="Arial"/>
          <w:b/>
          <w:sz w:val="20"/>
          <w:szCs w:val="20"/>
        </w:rPr>
        <w:t>ansactions according to Point (0</w:t>
      </w:r>
      <w:r w:rsidR="009E1950" w:rsidRPr="00602360">
        <w:rPr>
          <w:rFonts w:ascii="Arial" w:hAnsi="Arial" w:cs="Arial"/>
          <w:b/>
          <w:sz w:val="20"/>
          <w:szCs w:val="20"/>
        </w:rPr>
        <w:t xml:space="preserve">), </w:t>
      </w:r>
      <w:r w:rsidRPr="00602360">
        <w:rPr>
          <w:rFonts w:ascii="Arial" w:hAnsi="Arial" w:cs="Arial"/>
          <w:b/>
          <w:sz w:val="20"/>
          <w:szCs w:val="20"/>
        </w:rPr>
        <w:t xml:space="preserve">Article 2, </w:t>
      </w:r>
      <w:r w:rsidR="009E1950" w:rsidRPr="00602360">
        <w:rPr>
          <w:rFonts w:ascii="Arial" w:hAnsi="Arial" w:cs="Arial"/>
          <w:b/>
          <w:sz w:val="20"/>
          <w:szCs w:val="20"/>
        </w:rPr>
        <w:t>Clause 14, Charter of Song Da 4 Joint Stock Company.</w:t>
      </w:r>
    </w:p>
    <w:p w:rsidR="00BA3A42" w:rsidRPr="00517640" w:rsidRDefault="00602360" w:rsidP="00567A4E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point (0) </w:t>
      </w:r>
      <w:r w:rsidR="009E1950" w:rsidRPr="00517640">
        <w:rPr>
          <w:rFonts w:ascii="Arial" w:hAnsi="Arial" w:cs="Arial"/>
          <w:sz w:val="20"/>
          <w:szCs w:val="20"/>
        </w:rPr>
        <w:t>clause 2 of Article 14 of the company's charter, the co</w:t>
      </w:r>
      <w:r>
        <w:rPr>
          <w:rFonts w:ascii="Arial" w:hAnsi="Arial" w:cs="Arial"/>
          <w:sz w:val="20"/>
          <w:szCs w:val="20"/>
        </w:rPr>
        <w:t>mpany or its branches sign</w:t>
      </w:r>
      <w:r w:rsidR="009E1950" w:rsidRPr="00517640">
        <w:rPr>
          <w:rFonts w:ascii="Arial" w:hAnsi="Arial" w:cs="Arial"/>
          <w:sz w:val="20"/>
          <w:szCs w:val="20"/>
        </w:rPr>
        <w:t xml:space="preserve"> contracts with persons defined in Clause 1, Article 162 of Enterprise Law with the value </w:t>
      </w:r>
      <w:r w:rsidR="00712993">
        <w:rPr>
          <w:rFonts w:ascii="Arial" w:hAnsi="Arial" w:cs="Arial"/>
          <w:sz w:val="20"/>
          <w:szCs w:val="20"/>
        </w:rPr>
        <w:lastRenderedPageBreak/>
        <w:t>e</w:t>
      </w:r>
      <w:r w:rsidR="009E1950" w:rsidRPr="00517640">
        <w:rPr>
          <w:rFonts w:ascii="Arial" w:hAnsi="Arial" w:cs="Arial"/>
          <w:sz w:val="20"/>
          <w:szCs w:val="20"/>
        </w:rPr>
        <w:t xml:space="preserve">qual to or greater than 35% of the total asset value of the </w:t>
      </w:r>
      <w:r w:rsidR="007726A2">
        <w:rPr>
          <w:rFonts w:ascii="Arial" w:hAnsi="Arial" w:cs="Arial"/>
          <w:sz w:val="20"/>
          <w:szCs w:val="20"/>
        </w:rPr>
        <w:t>c</w:t>
      </w:r>
      <w:r w:rsidR="009E1950" w:rsidRPr="00517640">
        <w:rPr>
          <w:rFonts w:ascii="Arial" w:hAnsi="Arial" w:cs="Arial"/>
          <w:sz w:val="20"/>
          <w:szCs w:val="20"/>
        </w:rPr>
        <w:t>ompany and its branches recorded in the latest audited financial statement</w:t>
      </w:r>
      <w:r w:rsidR="00FB67CA">
        <w:rPr>
          <w:rFonts w:ascii="Arial" w:hAnsi="Arial" w:cs="Arial"/>
          <w:sz w:val="20"/>
          <w:szCs w:val="20"/>
        </w:rPr>
        <w:t>s</w:t>
      </w:r>
      <w:r w:rsidR="009E1950" w:rsidRPr="00517640">
        <w:rPr>
          <w:rFonts w:ascii="Arial" w:hAnsi="Arial" w:cs="Arial"/>
          <w:sz w:val="20"/>
          <w:szCs w:val="20"/>
        </w:rPr>
        <w:t>.</w:t>
      </w:r>
      <w:r w:rsidR="00567A4E">
        <w:rPr>
          <w:rFonts w:ascii="Arial" w:hAnsi="Arial" w:cs="Arial"/>
          <w:sz w:val="20"/>
          <w:szCs w:val="20"/>
        </w:rPr>
        <w:t xml:space="preserve"> </w:t>
      </w:r>
      <w:r w:rsidR="009E1950" w:rsidRPr="00517640">
        <w:rPr>
          <w:rFonts w:ascii="Arial" w:hAnsi="Arial" w:cs="Arial"/>
          <w:sz w:val="20"/>
          <w:szCs w:val="20"/>
        </w:rPr>
        <w:t>To ensure the transactions in accordance wi</w:t>
      </w:r>
      <w:r w:rsidR="00FB67CA">
        <w:rPr>
          <w:rFonts w:ascii="Arial" w:hAnsi="Arial" w:cs="Arial"/>
          <w:sz w:val="20"/>
          <w:szCs w:val="20"/>
        </w:rPr>
        <w:t>th the law and the Company’s c</w:t>
      </w:r>
      <w:r w:rsidR="009E1950" w:rsidRPr="00517640">
        <w:rPr>
          <w:rFonts w:ascii="Arial" w:hAnsi="Arial" w:cs="Arial"/>
          <w:sz w:val="20"/>
          <w:szCs w:val="20"/>
        </w:rPr>
        <w:t xml:space="preserve">harter, and at the same time do not miss </w:t>
      </w:r>
      <w:r w:rsidR="00FB67CA">
        <w:rPr>
          <w:rFonts w:ascii="Arial" w:hAnsi="Arial" w:cs="Arial"/>
          <w:sz w:val="20"/>
          <w:szCs w:val="20"/>
        </w:rPr>
        <w:t>business opportunities, t</w:t>
      </w:r>
      <w:r w:rsidR="009E1950" w:rsidRPr="00517640">
        <w:rPr>
          <w:rFonts w:ascii="Arial" w:hAnsi="Arial" w:cs="Arial"/>
          <w:sz w:val="20"/>
          <w:szCs w:val="20"/>
        </w:rPr>
        <w:t xml:space="preserve">he General </w:t>
      </w:r>
      <w:r w:rsidR="00FB67CA">
        <w:rPr>
          <w:rFonts w:ascii="Arial" w:hAnsi="Arial" w:cs="Arial"/>
          <w:sz w:val="20"/>
          <w:szCs w:val="20"/>
        </w:rPr>
        <w:t>Meeting</w:t>
      </w:r>
      <w:r w:rsidR="009E1950" w:rsidRPr="00517640">
        <w:rPr>
          <w:rFonts w:ascii="Arial" w:hAnsi="Arial" w:cs="Arial"/>
          <w:sz w:val="20"/>
          <w:szCs w:val="20"/>
        </w:rPr>
        <w:t xml:space="preserve"> of Shareholders approves the authorization of the Board of Directors to approve contracts and transactions in accordance with clause (</w:t>
      </w:r>
      <w:r w:rsidR="00B97CD2">
        <w:rPr>
          <w:rFonts w:ascii="Arial" w:hAnsi="Arial" w:cs="Arial"/>
          <w:sz w:val="20"/>
          <w:szCs w:val="20"/>
        </w:rPr>
        <w:t>0</w:t>
      </w:r>
      <w:r w:rsidR="009E1950" w:rsidRPr="00517640">
        <w:rPr>
          <w:rFonts w:ascii="Arial" w:hAnsi="Arial" w:cs="Arial"/>
          <w:sz w:val="20"/>
          <w:szCs w:val="20"/>
        </w:rPr>
        <w:t xml:space="preserve">), clause 2, Article 14 of the Charter of </w:t>
      </w:r>
      <w:r w:rsidR="00B97CD2">
        <w:rPr>
          <w:rFonts w:ascii="Arial" w:hAnsi="Arial" w:cs="Arial"/>
          <w:sz w:val="20"/>
          <w:szCs w:val="20"/>
        </w:rPr>
        <w:t>Song Da 4</w:t>
      </w:r>
      <w:r w:rsidR="00B97CD2" w:rsidRPr="00517640">
        <w:rPr>
          <w:rFonts w:ascii="Arial" w:hAnsi="Arial" w:cs="Arial"/>
          <w:sz w:val="20"/>
          <w:szCs w:val="20"/>
        </w:rPr>
        <w:t xml:space="preserve"> Joint Stock Company</w:t>
      </w:r>
      <w:r w:rsidR="00B97CD2">
        <w:rPr>
          <w:rFonts w:ascii="Arial" w:hAnsi="Arial" w:cs="Arial"/>
          <w:sz w:val="20"/>
          <w:szCs w:val="20"/>
        </w:rPr>
        <w:t xml:space="preserve"> </w:t>
      </w:r>
      <w:r w:rsidR="009E1950" w:rsidRPr="00517640">
        <w:rPr>
          <w:rFonts w:ascii="Arial" w:hAnsi="Arial" w:cs="Arial"/>
          <w:sz w:val="20"/>
          <w:szCs w:val="20"/>
        </w:rPr>
        <w:t>if any arising in 2017.</w:t>
      </w:r>
    </w:p>
    <w:p w:rsidR="009E1950" w:rsidRPr="00D85DB4" w:rsidRDefault="00D60DE9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D85DB4">
        <w:rPr>
          <w:rFonts w:ascii="Arial" w:hAnsi="Arial" w:cs="Arial"/>
          <w:b/>
          <w:sz w:val="20"/>
          <w:szCs w:val="20"/>
        </w:rPr>
        <w:t>8</w:t>
      </w:r>
      <w:r w:rsidR="009E1950" w:rsidRPr="00D85DB4">
        <w:rPr>
          <w:rFonts w:ascii="Arial" w:hAnsi="Arial" w:cs="Arial"/>
          <w:b/>
          <w:sz w:val="20"/>
          <w:szCs w:val="20"/>
        </w:rPr>
        <w:t xml:space="preserve">. </w:t>
      </w:r>
      <w:r w:rsidR="00D85DB4" w:rsidRPr="00D85DB4">
        <w:rPr>
          <w:rFonts w:ascii="Arial" w:hAnsi="Arial" w:cs="Arial"/>
          <w:b/>
          <w:sz w:val="20"/>
          <w:szCs w:val="20"/>
        </w:rPr>
        <w:t xml:space="preserve">Plan of Salary, remuneration </w:t>
      </w:r>
      <w:r w:rsidR="009E1950" w:rsidRPr="00D85DB4">
        <w:rPr>
          <w:rFonts w:ascii="Arial" w:hAnsi="Arial" w:cs="Arial"/>
          <w:b/>
          <w:sz w:val="20"/>
          <w:szCs w:val="20"/>
        </w:rPr>
        <w:t>2017:</w:t>
      </w:r>
    </w:p>
    <w:p w:rsidR="00567A4E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When the company completes the business plan and </w:t>
      </w:r>
      <w:r w:rsidR="00C3722C">
        <w:rPr>
          <w:rFonts w:ascii="Arial" w:hAnsi="Arial" w:cs="Arial"/>
          <w:sz w:val="20"/>
          <w:szCs w:val="20"/>
        </w:rPr>
        <w:t xml:space="preserve">implemented </w:t>
      </w:r>
      <w:r w:rsidRPr="00517640">
        <w:rPr>
          <w:rFonts w:ascii="Arial" w:hAnsi="Arial" w:cs="Arial"/>
          <w:sz w:val="20"/>
          <w:szCs w:val="20"/>
        </w:rPr>
        <w:t xml:space="preserve">profit is </w:t>
      </w:r>
      <w:r w:rsidR="00C3722C">
        <w:rPr>
          <w:rFonts w:ascii="Arial" w:hAnsi="Arial" w:cs="Arial"/>
          <w:sz w:val="20"/>
          <w:szCs w:val="20"/>
        </w:rPr>
        <w:t>equal to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C3722C">
        <w:rPr>
          <w:rFonts w:ascii="Arial" w:hAnsi="Arial" w:cs="Arial"/>
          <w:sz w:val="20"/>
          <w:szCs w:val="20"/>
        </w:rPr>
        <w:t>plan profit</w:t>
      </w:r>
      <w:r w:rsidRPr="00517640">
        <w:rPr>
          <w:rFonts w:ascii="Arial" w:hAnsi="Arial" w:cs="Arial"/>
          <w:sz w:val="20"/>
          <w:szCs w:val="20"/>
        </w:rPr>
        <w:t>: Salary and remuneration of the manager is as follows: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322"/>
        <w:gridCol w:w="2322"/>
      </w:tblGrid>
      <w:tr w:rsidR="00BA3A42" w:rsidRPr="001C5578" w:rsidTr="001C5578">
        <w:tc>
          <w:tcPr>
            <w:tcW w:w="648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996" w:type="dxa"/>
            <w:shd w:val="clear" w:color="auto" w:fill="auto"/>
          </w:tcPr>
          <w:p w:rsidR="00BA3A42" w:rsidRPr="001C5578" w:rsidRDefault="00BA3A42" w:rsidP="001C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578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BA3A42" w:rsidRPr="001C5578" w:rsidRDefault="00BA3A42" w:rsidP="001C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578">
              <w:rPr>
                <w:rFonts w:ascii="Arial" w:hAnsi="Arial" w:cs="Arial"/>
                <w:b/>
                <w:sz w:val="20"/>
                <w:szCs w:val="20"/>
              </w:rPr>
              <w:t>Remuneration/month (VND)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BA3A42" w:rsidRPr="001C5578" w:rsidRDefault="00BA3A42" w:rsidP="001C5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578">
              <w:rPr>
                <w:rFonts w:ascii="Arial" w:hAnsi="Arial" w:cs="Arial"/>
                <w:b/>
                <w:sz w:val="20"/>
                <w:szCs w:val="20"/>
              </w:rPr>
              <w:t>Salary/month (VND)</w:t>
            </w:r>
          </w:p>
        </w:tc>
      </w:tr>
      <w:tr w:rsidR="00BA3A42" w:rsidRPr="001C5578" w:rsidTr="001C5578">
        <w:tc>
          <w:tcPr>
            <w:tcW w:w="648" w:type="dxa"/>
            <w:vMerge w:val="restart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Chairman of Board of Directors</w:t>
            </w:r>
          </w:p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- Non-</w:t>
            </w:r>
            <w:r w:rsidR="00361769" w:rsidRPr="001C5578">
              <w:rPr>
                <w:rFonts w:ascii="Arial" w:hAnsi="Arial" w:cs="Arial"/>
                <w:sz w:val="20"/>
                <w:szCs w:val="20"/>
              </w:rPr>
              <w:t>executive</w:t>
            </w:r>
          </w:p>
          <w:p w:rsidR="00BA3A42" w:rsidRPr="001C5578" w:rsidRDefault="00BA3A42" w:rsidP="00361769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1769" w:rsidRPr="001C5578">
              <w:rPr>
                <w:rFonts w:ascii="Arial" w:hAnsi="Arial" w:cs="Arial"/>
                <w:sz w:val="20"/>
                <w:szCs w:val="20"/>
              </w:rPr>
              <w:t>Executive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nil"/>
            </w:tcBorders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42" w:rsidRPr="001C5578" w:rsidTr="001C5578">
        <w:tc>
          <w:tcPr>
            <w:tcW w:w="648" w:type="dxa"/>
            <w:vMerge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6.000.000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A42" w:rsidRPr="001C5578" w:rsidTr="001C5578">
        <w:tc>
          <w:tcPr>
            <w:tcW w:w="648" w:type="dxa"/>
            <w:vMerge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31.000.000</w:t>
            </w:r>
          </w:p>
        </w:tc>
      </w:tr>
      <w:tr w:rsidR="00BA3A42" w:rsidRPr="001C5578" w:rsidTr="001C5578">
        <w:tc>
          <w:tcPr>
            <w:tcW w:w="648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BA3A42" w:rsidRPr="001C5578" w:rsidRDefault="00BA3A42" w:rsidP="001C5578">
            <w:pPr>
              <w:tabs>
                <w:tab w:val="left" w:pos="1089"/>
              </w:tabs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 xml:space="preserve"> Member of the Board of Directors plurality General </w:t>
            </w:r>
            <w:r w:rsidR="008B3103" w:rsidRPr="001C5578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28.000.000</w:t>
            </w:r>
          </w:p>
        </w:tc>
      </w:tr>
      <w:tr w:rsidR="00BA3A42" w:rsidRPr="001C5578" w:rsidTr="001C5578">
        <w:tc>
          <w:tcPr>
            <w:tcW w:w="648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Member of the Board of Directors</w:t>
            </w: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21.000.000</w:t>
            </w:r>
          </w:p>
        </w:tc>
      </w:tr>
      <w:tr w:rsidR="00BA3A42" w:rsidRPr="001C5578" w:rsidTr="001C5578">
        <w:tc>
          <w:tcPr>
            <w:tcW w:w="648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BA3A42" w:rsidRPr="001C5578" w:rsidRDefault="008E520A" w:rsidP="00BA3A42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Executive</w:t>
            </w:r>
            <w:r w:rsidR="00BA3A42" w:rsidRPr="001C5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5578">
              <w:rPr>
                <w:rFonts w:ascii="Arial" w:hAnsi="Arial" w:cs="Arial"/>
                <w:sz w:val="20"/>
                <w:szCs w:val="20"/>
              </w:rPr>
              <w:t>Chief of Board of Supervisors</w:t>
            </w: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19.000.000</w:t>
            </w:r>
          </w:p>
        </w:tc>
      </w:tr>
      <w:tr w:rsidR="00BA3A42" w:rsidRPr="001C5578" w:rsidTr="001C5578">
        <w:tc>
          <w:tcPr>
            <w:tcW w:w="648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BA3A42" w:rsidRPr="001C5578" w:rsidRDefault="00BA3A42" w:rsidP="00BA3A42">
            <w:pPr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Member of  Board of Supervisors</w:t>
            </w: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578">
              <w:rPr>
                <w:rFonts w:ascii="Arial" w:hAnsi="Arial" w:cs="Arial"/>
                <w:sz w:val="20"/>
                <w:szCs w:val="20"/>
              </w:rPr>
              <w:t>4.500.000</w:t>
            </w:r>
          </w:p>
        </w:tc>
        <w:tc>
          <w:tcPr>
            <w:tcW w:w="2322" w:type="dxa"/>
            <w:shd w:val="clear" w:color="auto" w:fill="auto"/>
          </w:tcPr>
          <w:p w:rsidR="00BA3A42" w:rsidRPr="001C5578" w:rsidRDefault="00BA3A42" w:rsidP="001C5578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950" w:rsidRPr="0051764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For members of </w:t>
      </w:r>
      <w:r w:rsidR="00DB1F2C">
        <w:rPr>
          <w:rFonts w:ascii="Arial" w:hAnsi="Arial" w:cs="Arial"/>
          <w:sz w:val="20"/>
          <w:szCs w:val="20"/>
        </w:rPr>
        <w:t>Board of Directors, Board of Supervisors:</w:t>
      </w:r>
      <w:r w:rsidRPr="00517640">
        <w:rPr>
          <w:rFonts w:ascii="Arial" w:hAnsi="Arial" w:cs="Arial"/>
          <w:sz w:val="20"/>
          <w:szCs w:val="20"/>
        </w:rPr>
        <w:t xml:space="preserve"> if </w:t>
      </w:r>
      <w:r w:rsidR="00DB1F2C">
        <w:rPr>
          <w:rFonts w:ascii="Arial" w:hAnsi="Arial" w:cs="Arial"/>
          <w:sz w:val="20"/>
          <w:szCs w:val="20"/>
        </w:rPr>
        <w:t xml:space="preserve">they </w:t>
      </w:r>
      <w:r w:rsidRPr="00517640">
        <w:rPr>
          <w:rFonts w:ascii="Arial" w:hAnsi="Arial" w:cs="Arial"/>
          <w:sz w:val="20"/>
          <w:szCs w:val="20"/>
        </w:rPr>
        <w:t>enjoy</w:t>
      </w:r>
      <w:r w:rsidR="00DB1F2C">
        <w:rPr>
          <w:rFonts w:ascii="Arial" w:hAnsi="Arial" w:cs="Arial"/>
          <w:sz w:val="20"/>
          <w:szCs w:val="20"/>
        </w:rPr>
        <w:t xml:space="preserve"> salary at the company, they </w:t>
      </w:r>
      <w:r w:rsidRPr="00517640">
        <w:rPr>
          <w:rFonts w:ascii="Arial" w:hAnsi="Arial" w:cs="Arial"/>
          <w:sz w:val="20"/>
          <w:szCs w:val="20"/>
        </w:rPr>
        <w:t>shall not be entitled to remuneration</w:t>
      </w:r>
      <w:r w:rsidR="00722B4F">
        <w:rPr>
          <w:rFonts w:ascii="Arial" w:hAnsi="Arial" w:cs="Arial"/>
          <w:sz w:val="20"/>
          <w:szCs w:val="20"/>
        </w:rPr>
        <w:t>.</w:t>
      </w:r>
    </w:p>
    <w:p w:rsidR="009E1950" w:rsidRPr="00517640" w:rsidRDefault="00722B4F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case the </w:t>
      </w:r>
      <w:r w:rsidR="009E1950" w:rsidRPr="00517640">
        <w:rPr>
          <w:rFonts w:ascii="Arial" w:hAnsi="Arial" w:cs="Arial"/>
          <w:sz w:val="20"/>
          <w:szCs w:val="20"/>
        </w:rPr>
        <w:t xml:space="preserve">company fulfills its business plan and its </w:t>
      </w:r>
      <w:r>
        <w:rPr>
          <w:rFonts w:ascii="Arial" w:hAnsi="Arial" w:cs="Arial"/>
          <w:sz w:val="20"/>
          <w:szCs w:val="20"/>
        </w:rPr>
        <w:t xml:space="preserve">implemented </w:t>
      </w:r>
      <w:r w:rsidR="009E1950" w:rsidRPr="00517640">
        <w:rPr>
          <w:rFonts w:ascii="Arial" w:hAnsi="Arial" w:cs="Arial"/>
          <w:sz w:val="20"/>
          <w:szCs w:val="20"/>
        </w:rPr>
        <w:t>pro</w:t>
      </w:r>
      <w:r w:rsidR="007C567C">
        <w:rPr>
          <w:rFonts w:ascii="Arial" w:hAnsi="Arial" w:cs="Arial"/>
          <w:sz w:val="20"/>
          <w:szCs w:val="20"/>
        </w:rPr>
        <w:t xml:space="preserve">fit exceeds its plan, every 1% </w:t>
      </w:r>
      <w:r w:rsidR="009E1950" w:rsidRPr="00517640">
        <w:rPr>
          <w:rFonts w:ascii="Arial" w:hAnsi="Arial" w:cs="Arial"/>
          <w:sz w:val="20"/>
          <w:szCs w:val="20"/>
        </w:rPr>
        <w:t xml:space="preserve">of its profits </w:t>
      </w:r>
      <w:r w:rsidR="007C567C">
        <w:rPr>
          <w:rFonts w:ascii="Arial" w:hAnsi="Arial" w:cs="Arial"/>
          <w:sz w:val="20"/>
          <w:szCs w:val="20"/>
        </w:rPr>
        <w:t>exceeding</w:t>
      </w:r>
      <w:r w:rsidR="009E1950" w:rsidRPr="00517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its </w:t>
      </w:r>
      <w:r w:rsidR="009E1950" w:rsidRPr="007C567C">
        <w:rPr>
          <w:rFonts w:ascii="Arial" w:hAnsi="Arial" w:cs="Arial"/>
          <w:sz w:val="20"/>
          <w:szCs w:val="20"/>
        </w:rPr>
        <w:t>pla</w:t>
      </w:r>
      <w:r w:rsidR="008B3103">
        <w:rPr>
          <w:rFonts w:ascii="Arial" w:hAnsi="Arial" w:cs="Arial"/>
          <w:sz w:val="20"/>
          <w:szCs w:val="20"/>
        </w:rPr>
        <w:t xml:space="preserve">n, </w:t>
      </w:r>
      <w:r>
        <w:rPr>
          <w:rFonts w:ascii="Arial" w:hAnsi="Arial" w:cs="Arial"/>
          <w:sz w:val="20"/>
          <w:szCs w:val="20"/>
        </w:rPr>
        <w:t>the average salary shall not exceed 2%, n</w:t>
      </w:r>
      <w:r w:rsidR="009E1950" w:rsidRPr="00517640">
        <w:rPr>
          <w:rFonts w:ascii="Arial" w:hAnsi="Arial" w:cs="Arial"/>
          <w:sz w:val="20"/>
          <w:szCs w:val="20"/>
        </w:rPr>
        <w:t>ot more than 20% of the average planned salary.</w:t>
      </w:r>
    </w:p>
    <w:p w:rsidR="009E1950" w:rsidRPr="00517640" w:rsidRDefault="007C567C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9E1950" w:rsidRPr="00517640">
        <w:rPr>
          <w:rFonts w:ascii="Arial" w:hAnsi="Arial" w:cs="Arial"/>
          <w:sz w:val="20"/>
          <w:szCs w:val="20"/>
        </w:rPr>
        <w:t>case that the company ha</w:t>
      </w:r>
      <w:r>
        <w:rPr>
          <w:rFonts w:ascii="Arial" w:hAnsi="Arial" w:cs="Arial"/>
          <w:sz w:val="20"/>
          <w:szCs w:val="20"/>
        </w:rPr>
        <w:t xml:space="preserve">s a lower profit than the plan, every 1% of profit </w:t>
      </w:r>
      <w:r w:rsidR="009E1950" w:rsidRPr="00517640">
        <w:rPr>
          <w:rFonts w:ascii="Arial" w:hAnsi="Arial" w:cs="Arial"/>
          <w:sz w:val="20"/>
          <w:szCs w:val="20"/>
        </w:rPr>
        <w:t>lower than the plan, the average sala</w:t>
      </w:r>
      <w:r>
        <w:rPr>
          <w:rFonts w:ascii="Arial" w:hAnsi="Arial" w:cs="Arial"/>
          <w:sz w:val="20"/>
          <w:szCs w:val="20"/>
        </w:rPr>
        <w:t xml:space="preserve">ry of the manager who is </w:t>
      </w:r>
      <w:r w:rsidR="009E1950" w:rsidRPr="00517640">
        <w:rPr>
          <w:rFonts w:ascii="Arial" w:hAnsi="Arial" w:cs="Arial"/>
          <w:sz w:val="20"/>
          <w:szCs w:val="20"/>
        </w:rPr>
        <w:t>the representat</w:t>
      </w:r>
      <w:r>
        <w:rPr>
          <w:rFonts w:ascii="Arial" w:hAnsi="Arial" w:cs="Arial"/>
          <w:sz w:val="20"/>
          <w:szCs w:val="20"/>
        </w:rPr>
        <w:t>ive of the State’s capital</w:t>
      </w:r>
      <w:r w:rsidR="009E1950" w:rsidRPr="00517640">
        <w:rPr>
          <w:rFonts w:ascii="Arial" w:hAnsi="Arial" w:cs="Arial"/>
          <w:sz w:val="20"/>
          <w:szCs w:val="20"/>
        </w:rPr>
        <w:t xml:space="preserve"> must be ded</w:t>
      </w:r>
      <w:r>
        <w:rPr>
          <w:rFonts w:ascii="Arial" w:hAnsi="Arial" w:cs="Arial"/>
          <w:sz w:val="20"/>
          <w:szCs w:val="20"/>
        </w:rPr>
        <w:t>ucted equal to 1% of the plan</w:t>
      </w:r>
      <w:r w:rsidR="00D742BE">
        <w:rPr>
          <w:rFonts w:ascii="Arial" w:hAnsi="Arial" w:cs="Arial"/>
          <w:sz w:val="20"/>
          <w:szCs w:val="20"/>
        </w:rPr>
        <w:t>ned</w:t>
      </w:r>
      <w:r w:rsidR="009E1950" w:rsidRPr="00517640">
        <w:rPr>
          <w:rFonts w:ascii="Arial" w:hAnsi="Arial" w:cs="Arial"/>
          <w:sz w:val="20"/>
          <w:szCs w:val="20"/>
        </w:rPr>
        <w:t xml:space="preserve"> average salary.</w:t>
      </w:r>
    </w:p>
    <w:p w:rsidR="009E1950" w:rsidRPr="00D85DB4" w:rsidRDefault="00D85DB4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Approve </w:t>
      </w:r>
      <w:r w:rsidR="009E1950" w:rsidRPr="00D85DB4">
        <w:rPr>
          <w:rFonts w:ascii="Arial" w:hAnsi="Arial" w:cs="Arial"/>
          <w:b/>
          <w:sz w:val="20"/>
          <w:szCs w:val="20"/>
        </w:rPr>
        <w:t>additional members of the Board of Directors:</w:t>
      </w:r>
    </w:p>
    <w:p w:rsidR="009E1950" w:rsidRPr="0051764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>9.1. Mr. Nguyen Tien Truong - bo</w:t>
      </w:r>
      <w:r w:rsidR="0009484A">
        <w:rPr>
          <w:rFonts w:ascii="Arial" w:hAnsi="Arial" w:cs="Arial"/>
          <w:sz w:val="20"/>
          <w:szCs w:val="20"/>
        </w:rPr>
        <w:t>rn in 1974; Occupation: Civil</w:t>
      </w:r>
      <w:r w:rsidRPr="00517640">
        <w:rPr>
          <w:rFonts w:ascii="Arial" w:hAnsi="Arial" w:cs="Arial"/>
          <w:sz w:val="20"/>
          <w:szCs w:val="20"/>
        </w:rPr>
        <w:t xml:space="preserve"> engineer; Master of Business Administration; Current position: Deputy General Director of Song Da 4 Joint Stock Company is a member of the Board of Directors of Song Da 4 Joint Stock Company from November 7, 2016 to April 18,</w:t>
      </w:r>
      <w:r w:rsidR="00B077D2">
        <w:rPr>
          <w:rFonts w:ascii="Arial" w:hAnsi="Arial" w:cs="Arial"/>
          <w:sz w:val="20"/>
          <w:szCs w:val="20"/>
        </w:rPr>
        <w:t xml:space="preserve"> 2017</w:t>
      </w:r>
    </w:p>
    <w:p w:rsidR="009E195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9.2. Mr. Dang Van Chien - born in 1974; Occupation: </w:t>
      </w:r>
      <w:r w:rsidR="00B077D2">
        <w:rPr>
          <w:rFonts w:ascii="Arial" w:hAnsi="Arial" w:cs="Arial"/>
          <w:sz w:val="20"/>
          <w:szCs w:val="20"/>
        </w:rPr>
        <w:t>I</w:t>
      </w:r>
      <w:r w:rsidRPr="00517640">
        <w:rPr>
          <w:rFonts w:ascii="Arial" w:hAnsi="Arial" w:cs="Arial"/>
          <w:sz w:val="20"/>
          <w:szCs w:val="20"/>
        </w:rPr>
        <w:t>rrigation engineer; Master of Business Administration; Current position: Chief of Office o</w:t>
      </w:r>
      <w:r w:rsidR="00FD5E55">
        <w:rPr>
          <w:rFonts w:ascii="Arial" w:hAnsi="Arial" w:cs="Arial"/>
          <w:sz w:val="20"/>
          <w:szCs w:val="20"/>
        </w:rPr>
        <w:t>f Song Da 4 Joint Stock Company –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B077D2">
        <w:rPr>
          <w:rFonts w:ascii="Arial" w:hAnsi="Arial" w:cs="Arial"/>
          <w:sz w:val="20"/>
          <w:szCs w:val="20"/>
        </w:rPr>
        <w:t>Head</w:t>
      </w:r>
      <w:r w:rsidR="009F779C">
        <w:rPr>
          <w:rFonts w:ascii="Arial" w:hAnsi="Arial" w:cs="Arial"/>
          <w:sz w:val="20"/>
          <w:szCs w:val="20"/>
        </w:rPr>
        <w:t xml:space="preserve"> of </w:t>
      </w:r>
      <w:r w:rsidR="00FD5E55">
        <w:rPr>
          <w:rFonts w:ascii="Arial" w:hAnsi="Arial" w:cs="Arial"/>
          <w:sz w:val="20"/>
          <w:szCs w:val="20"/>
        </w:rPr>
        <w:t>r</w:t>
      </w:r>
      <w:r w:rsidR="00FD5E55" w:rsidRPr="00517640">
        <w:rPr>
          <w:rFonts w:ascii="Arial" w:hAnsi="Arial" w:cs="Arial"/>
          <w:sz w:val="20"/>
          <w:szCs w:val="20"/>
        </w:rPr>
        <w:t>epresentat</w:t>
      </w:r>
      <w:r w:rsidR="00FD5E55">
        <w:rPr>
          <w:rFonts w:ascii="Arial" w:hAnsi="Arial" w:cs="Arial"/>
          <w:sz w:val="20"/>
          <w:szCs w:val="20"/>
        </w:rPr>
        <w:t xml:space="preserve">ive of </w:t>
      </w:r>
      <w:r w:rsidR="009F779C" w:rsidRPr="00517640">
        <w:rPr>
          <w:rFonts w:ascii="Arial" w:hAnsi="Arial" w:cs="Arial"/>
          <w:sz w:val="20"/>
          <w:szCs w:val="20"/>
        </w:rPr>
        <w:t xml:space="preserve">Song Da </w:t>
      </w:r>
      <w:r w:rsidR="009F779C">
        <w:rPr>
          <w:rFonts w:ascii="Arial" w:hAnsi="Arial" w:cs="Arial"/>
          <w:sz w:val="20"/>
          <w:szCs w:val="20"/>
        </w:rPr>
        <w:t>Corporation’s capital</w:t>
      </w:r>
      <w:r w:rsidRPr="00517640">
        <w:rPr>
          <w:rFonts w:ascii="Arial" w:hAnsi="Arial" w:cs="Arial"/>
          <w:sz w:val="20"/>
          <w:szCs w:val="20"/>
        </w:rPr>
        <w:t>;</w:t>
      </w:r>
      <w:r w:rsidR="009F779C">
        <w:rPr>
          <w:rFonts w:ascii="Arial" w:hAnsi="Arial" w:cs="Arial"/>
          <w:sz w:val="20"/>
          <w:szCs w:val="20"/>
        </w:rPr>
        <w:t xml:space="preserve"> Chairman of Board of Director of 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9F779C" w:rsidRPr="00517640">
        <w:rPr>
          <w:rFonts w:ascii="Arial" w:hAnsi="Arial" w:cs="Arial"/>
          <w:sz w:val="20"/>
          <w:szCs w:val="20"/>
        </w:rPr>
        <w:t xml:space="preserve">Song Da </w:t>
      </w:r>
      <w:r w:rsidR="009F779C">
        <w:rPr>
          <w:rFonts w:ascii="Arial" w:hAnsi="Arial" w:cs="Arial"/>
          <w:sz w:val="20"/>
          <w:szCs w:val="20"/>
        </w:rPr>
        <w:t xml:space="preserve">12 </w:t>
      </w:r>
      <w:r w:rsidR="009F779C" w:rsidRPr="00517640">
        <w:rPr>
          <w:rFonts w:ascii="Arial" w:hAnsi="Arial" w:cs="Arial"/>
          <w:sz w:val="20"/>
          <w:szCs w:val="20"/>
        </w:rPr>
        <w:t>Joint Stock Company</w:t>
      </w:r>
      <w:r w:rsidR="009F779C">
        <w:rPr>
          <w:rFonts w:ascii="Arial" w:hAnsi="Arial" w:cs="Arial"/>
          <w:sz w:val="20"/>
          <w:szCs w:val="20"/>
        </w:rPr>
        <w:t>; Head of r</w:t>
      </w:r>
      <w:r w:rsidR="009F779C" w:rsidRPr="00517640">
        <w:rPr>
          <w:rFonts w:ascii="Arial" w:hAnsi="Arial" w:cs="Arial"/>
          <w:sz w:val="20"/>
          <w:szCs w:val="20"/>
        </w:rPr>
        <w:t>epresentat</w:t>
      </w:r>
      <w:r w:rsidR="009F779C">
        <w:rPr>
          <w:rFonts w:ascii="Arial" w:hAnsi="Arial" w:cs="Arial"/>
          <w:sz w:val="20"/>
          <w:szCs w:val="20"/>
        </w:rPr>
        <w:t xml:space="preserve">ive of of </w:t>
      </w:r>
      <w:r w:rsidR="009F779C" w:rsidRPr="00517640">
        <w:rPr>
          <w:rFonts w:ascii="Arial" w:hAnsi="Arial" w:cs="Arial"/>
          <w:sz w:val="20"/>
          <w:szCs w:val="20"/>
        </w:rPr>
        <w:t xml:space="preserve">Song Da </w:t>
      </w:r>
      <w:r w:rsidR="009F779C">
        <w:rPr>
          <w:rFonts w:ascii="Arial" w:hAnsi="Arial" w:cs="Arial"/>
          <w:sz w:val="20"/>
          <w:szCs w:val="20"/>
        </w:rPr>
        <w:t xml:space="preserve">Corporation’s capital at </w:t>
      </w:r>
      <w:r w:rsidR="009F779C" w:rsidRPr="00517640">
        <w:rPr>
          <w:rFonts w:ascii="Arial" w:hAnsi="Arial" w:cs="Arial"/>
          <w:sz w:val="20"/>
          <w:szCs w:val="20"/>
        </w:rPr>
        <w:t xml:space="preserve">Song Da </w:t>
      </w:r>
      <w:r w:rsidR="009F779C">
        <w:rPr>
          <w:rFonts w:ascii="Arial" w:hAnsi="Arial" w:cs="Arial"/>
          <w:sz w:val="20"/>
          <w:szCs w:val="20"/>
        </w:rPr>
        <w:t xml:space="preserve">4 </w:t>
      </w:r>
      <w:r w:rsidR="009F779C" w:rsidRPr="00517640">
        <w:rPr>
          <w:rFonts w:ascii="Arial" w:hAnsi="Arial" w:cs="Arial"/>
          <w:sz w:val="20"/>
          <w:szCs w:val="20"/>
        </w:rPr>
        <w:t>Joint Stock Company</w:t>
      </w:r>
      <w:r w:rsidR="009F779C">
        <w:rPr>
          <w:rFonts w:ascii="Arial" w:hAnsi="Arial" w:cs="Arial"/>
          <w:sz w:val="20"/>
          <w:szCs w:val="20"/>
        </w:rPr>
        <w:t>, being</w:t>
      </w:r>
      <w:r w:rsidRPr="00517640">
        <w:rPr>
          <w:rFonts w:ascii="Arial" w:hAnsi="Arial" w:cs="Arial"/>
          <w:sz w:val="20"/>
          <w:szCs w:val="20"/>
        </w:rPr>
        <w:t xml:space="preserve"> a member of the Boa</w:t>
      </w:r>
      <w:r w:rsidR="009F779C">
        <w:rPr>
          <w:rFonts w:ascii="Arial" w:hAnsi="Arial" w:cs="Arial"/>
          <w:sz w:val="20"/>
          <w:szCs w:val="20"/>
        </w:rPr>
        <w:t xml:space="preserve">rd of Directors of </w:t>
      </w:r>
      <w:r w:rsidR="009F779C" w:rsidRPr="00517640">
        <w:rPr>
          <w:rFonts w:ascii="Arial" w:hAnsi="Arial" w:cs="Arial"/>
          <w:sz w:val="20"/>
          <w:szCs w:val="20"/>
        </w:rPr>
        <w:t xml:space="preserve">Song Da </w:t>
      </w:r>
      <w:r w:rsidR="009F779C">
        <w:rPr>
          <w:rFonts w:ascii="Arial" w:hAnsi="Arial" w:cs="Arial"/>
          <w:sz w:val="20"/>
          <w:szCs w:val="20"/>
        </w:rPr>
        <w:t xml:space="preserve">4 </w:t>
      </w:r>
      <w:r w:rsidR="009F779C" w:rsidRPr="00517640">
        <w:rPr>
          <w:rFonts w:ascii="Arial" w:hAnsi="Arial" w:cs="Arial"/>
          <w:sz w:val="20"/>
          <w:szCs w:val="20"/>
        </w:rPr>
        <w:t>Joint Stock Company</w:t>
      </w:r>
      <w:r w:rsidR="009F779C">
        <w:rPr>
          <w:rFonts w:ascii="Arial" w:hAnsi="Arial" w:cs="Arial"/>
          <w:sz w:val="20"/>
          <w:szCs w:val="20"/>
        </w:rPr>
        <w:t xml:space="preserve"> for the remaining time</w:t>
      </w:r>
      <w:r w:rsidRPr="00517640">
        <w:rPr>
          <w:rFonts w:ascii="Arial" w:hAnsi="Arial" w:cs="Arial"/>
          <w:sz w:val="20"/>
          <w:szCs w:val="20"/>
        </w:rPr>
        <w:t xml:space="preserve"> of t</w:t>
      </w:r>
      <w:r w:rsidR="009F779C">
        <w:rPr>
          <w:rFonts w:ascii="Arial" w:hAnsi="Arial" w:cs="Arial"/>
          <w:sz w:val="20"/>
          <w:szCs w:val="20"/>
        </w:rPr>
        <w:t xml:space="preserve">he term of 2013- 2018, since 19 April </w:t>
      </w:r>
      <w:r w:rsidRPr="00517640">
        <w:rPr>
          <w:rFonts w:ascii="Arial" w:hAnsi="Arial" w:cs="Arial"/>
          <w:sz w:val="20"/>
          <w:szCs w:val="20"/>
        </w:rPr>
        <w:t>2017.</w:t>
      </w:r>
    </w:p>
    <w:p w:rsidR="00D605EB" w:rsidRPr="00517640" w:rsidRDefault="00D605EB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E1950" w:rsidRDefault="009E1950" w:rsidP="0036781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4849">
        <w:rPr>
          <w:rFonts w:ascii="Arial" w:hAnsi="Arial" w:cs="Arial"/>
          <w:b/>
          <w:sz w:val="20"/>
          <w:szCs w:val="20"/>
          <w:u w:val="single"/>
        </w:rPr>
        <w:t>Article 2:</w:t>
      </w:r>
      <w:r w:rsidRPr="00517640">
        <w:rPr>
          <w:rFonts w:ascii="Arial" w:hAnsi="Arial" w:cs="Arial"/>
          <w:sz w:val="20"/>
          <w:szCs w:val="20"/>
        </w:rPr>
        <w:t xml:space="preserve"> The General Meeting of Shareholders assigns the Board of Directors to direct the </w:t>
      </w:r>
      <w:r w:rsidRPr="00A779F6">
        <w:rPr>
          <w:rFonts w:ascii="Arial" w:hAnsi="Arial" w:cs="Arial"/>
          <w:sz w:val="20"/>
          <w:szCs w:val="20"/>
        </w:rPr>
        <w:t>executive apparatus of the Company to orga</w:t>
      </w:r>
      <w:r w:rsidR="00367815">
        <w:rPr>
          <w:rFonts w:ascii="Arial" w:hAnsi="Arial" w:cs="Arial"/>
          <w:sz w:val="20"/>
          <w:szCs w:val="20"/>
        </w:rPr>
        <w:t>nize the implementation of the R</w:t>
      </w:r>
      <w:r w:rsidRPr="00A779F6">
        <w:rPr>
          <w:rFonts w:ascii="Arial" w:hAnsi="Arial" w:cs="Arial"/>
          <w:sz w:val="20"/>
          <w:szCs w:val="20"/>
        </w:rPr>
        <w:t>esolution of the Annual Gen</w:t>
      </w:r>
      <w:r w:rsidR="006B13C3" w:rsidRPr="00A779F6">
        <w:rPr>
          <w:rFonts w:ascii="Arial" w:hAnsi="Arial" w:cs="Arial"/>
          <w:sz w:val="20"/>
          <w:szCs w:val="20"/>
        </w:rPr>
        <w:t xml:space="preserve">eral Meeting of Shareholders </w:t>
      </w:r>
      <w:r w:rsidRPr="00A779F6">
        <w:rPr>
          <w:rFonts w:ascii="Arial" w:hAnsi="Arial" w:cs="Arial"/>
          <w:sz w:val="20"/>
          <w:szCs w:val="20"/>
        </w:rPr>
        <w:t xml:space="preserve">2017. The Board </w:t>
      </w:r>
      <w:r w:rsidR="006B13C3" w:rsidRPr="00A779F6">
        <w:rPr>
          <w:rFonts w:ascii="Arial" w:hAnsi="Arial" w:cs="Arial"/>
          <w:sz w:val="20"/>
          <w:szCs w:val="20"/>
        </w:rPr>
        <w:t xml:space="preserve">of Supervisors </w:t>
      </w:r>
      <w:r w:rsidRPr="00A779F6">
        <w:rPr>
          <w:rFonts w:ascii="Arial" w:hAnsi="Arial" w:cs="Arial"/>
          <w:sz w:val="20"/>
          <w:szCs w:val="20"/>
        </w:rPr>
        <w:t>performs the function</w:t>
      </w:r>
      <w:r w:rsidR="006B13C3" w:rsidRPr="00A779F6">
        <w:rPr>
          <w:rFonts w:ascii="Arial" w:hAnsi="Arial" w:cs="Arial"/>
          <w:sz w:val="20"/>
          <w:szCs w:val="20"/>
        </w:rPr>
        <w:t xml:space="preserve"> of inspecting and supervising m</w:t>
      </w:r>
      <w:r w:rsidRPr="00A779F6">
        <w:rPr>
          <w:rFonts w:ascii="Arial" w:hAnsi="Arial" w:cs="Arial"/>
          <w:sz w:val="20"/>
          <w:szCs w:val="20"/>
        </w:rPr>
        <w:t xml:space="preserve">anagement activities of the Board of Directors, </w:t>
      </w:r>
      <w:r w:rsidR="006B13C3" w:rsidRPr="00A779F6">
        <w:rPr>
          <w:rFonts w:ascii="Arial" w:hAnsi="Arial" w:cs="Arial"/>
          <w:sz w:val="20"/>
          <w:szCs w:val="20"/>
        </w:rPr>
        <w:t xml:space="preserve">activities of </w:t>
      </w:r>
      <w:r w:rsidRPr="00A779F6">
        <w:rPr>
          <w:rFonts w:ascii="Arial" w:hAnsi="Arial" w:cs="Arial"/>
          <w:sz w:val="20"/>
          <w:szCs w:val="20"/>
        </w:rPr>
        <w:t>produ</w:t>
      </w:r>
      <w:r w:rsidR="006B13C3" w:rsidRPr="00A779F6">
        <w:rPr>
          <w:rFonts w:ascii="Arial" w:hAnsi="Arial" w:cs="Arial"/>
          <w:sz w:val="20"/>
          <w:szCs w:val="20"/>
        </w:rPr>
        <w:t xml:space="preserve">ction and business </w:t>
      </w:r>
      <w:r w:rsidRPr="00A779F6">
        <w:rPr>
          <w:rFonts w:ascii="Arial" w:hAnsi="Arial" w:cs="Arial"/>
          <w:sz w:val="20"/>
          <w:szCs w:val="20"/>
        </w:rPr>
        <w:t>of the General Director and the executive apparatus of the Company in accordance with the law, the Company</w:t>
      </w:r>
      <w:r w:rsidR="006B13C3" w:rsidRPr="00A779F6">
        <w:rPr>
          <w:rFonts w:ascii="Arial" w:hAnsi="Arial" w:cs="Arial"/>
          <w:sz w:val="20"/>
          <w:szCs w:val="20"/>
        </w:rPr>
        <w:t>’s</w:t>
      </w:r>
      <w:r w:rsidR="00367815">
        <w:rPr>
          <w:rFonts w:ascii="Arial" w:hAnsi="Arial" w:cs="Arial"/>
          <w:sz w:val="20"/>
          <w:szCs w:val="20"/>
        </w:rPr>
        <w:t xml:space="preserve"> Charter and this R</w:t>
      </w:r>
      <w:r w:rsidRPr="00A779F6">
        <w:rPr>
          <w:rFonts w:ascii="Arial" w:hAnsi="Arial" w:cs="Arial"/>
          <w:sz w:val="20"/>
          <w:szCs w:val="20"/>
        </w:rPr>
        <w:t>esolution.</w:t>
      </w:r>
    </w:p>
    <w:p w:rsidR="00D605EB" w:rsidRPr="00517640" w:rsidRDefault="00D605EB" w:rsidP="0036781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E195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4849">
        <w:rPr>
          <w:rFonts w:ascii="Arial" w:hAnsi="Arial" w:cs="Arial"/>
          <w:b/>
          <w:sz w:val="20"/>
          <w:szCs w:val="20"/>
          <w:u w:val="single"/>
        </w:rPr>
        <w:t>Article 3:</w:t>
      </w:r>
      <w:r w:rsidRPr="00517640">
        <w:rPr>
          <w:rFonts w:ascii="Arial" w:hAnsi="Arial" w:cs="Arial"/>
          <w:sz w:val="20"/>
          <w:szCs w:val="20"/>
        </w:rPr>
        <w:t xml:space="preserve"> The members of the </w:t>
      </w:r>
      <w:r w:rsidR="00A779F6">
        <w:rPr>
          <w:rFonts w:ascii="Arial" w:hAnsi="Arial" w:cs="Arial"/>
          <w:sz w:val="20"/>
          <w:szCs w:val="20"/>
        </w:rPr>
        <w:t xml:space="preserve">Board of Directors, the </w:t>
      </w:r>
      <w:r w:rsidRPr="00517640">
        <w:rPr>
          <w:rFonts w:ascii="Arial" w:hAnsi="Arial" w:cs="Arial"/>
          <w:sz w:val="20"/>
          <w:szCs w:val="20"/>
        </w:rPr>
        <w:t>Board</w:t>
      </w:r>
      <w:r w:rsidR="00A779F6">
        <w:rPr>
          <w:rFonts w:ascii="Arial" w:hAnsi="Arial" w:cs="Arial"/>
          <w:sz w:val="20"/>
          <w:szCs w:val="20"/>
        </w:rPr>
        <w:t xml:space="preserve"> of Supervisors</w:t>
      </w:r>
      <w:r w:rsidRPr="00517640">
        <w:rPr>
          <w:rFonts w:ascii="Arial" w:hAnsi="Arial" w:cs="Arial"/>
          <w:sz w:val="20"/>
          <w:szCs w:val="20"/>
        </w:rPr>
        <w:t xml:space="preserve">, the executive management apparatus, the </w:t>
      </w:r>
      <w:r w:rsidR="001207A8">
        <w:rPr>
          <w:rFonts w:ascii="Arial" w:hAnsi="Arial" w:cs="Arial"/>
          <w:sz w:val="20"/>
          <w:szCs w:val="20"/>
        </w:rPr>
        <w:t>organizations and individuals of</w:t>
      </w:r>
      <w:r w:rsidRPr="00517640">
        <w:rPr>
          <w:rFonts w:ascii="Arial" w:hAnsi="Arial" w:cs="Arial"/>
          <w:sz w:val="20"/>
          <w:szCs w:val="20"/>
        </w:rPr>
        <w:t xml:space="preserve"> the company and the shareh</w:t>
      </w:r>
      <w:r w:rsidR="00A779F6">
        <w:rPr>
          <w:rFonts w:ascii="Arial" w:hAnsi="Arial" w:cs="Arial"/>
          <w:sz w:val="20"/>
          <w:szCs w:val="20"/>
        </w:rPr>
        <w:t xml:space="preserve">olders shall base </w:t>
      </w:r>
      <w:r w:rsidRPr="00517640">
        <w:rPr>
          <w:rFonts w:ascii="Arial" w:hAnsi="Arial" w:cs="Arial"/>
          <w:sz w:val="20"/>
          <w:szCs w:val="20"/>
        </w:rPr>
        <w:t xml:space="preserve">the Resolution on </w:t>
      </w:r>
      <w:r w:rsidR="00A779F6">
        <w:rPr>
          <w:rFonts w:ascii="Arial" w:hAnsi="Arial" w:cs="Arial"/>
          <w:sz w:val="20"/>
          <w:szCs w:val="20"/>
        </w:rPr>
        <w:t xml:space="preserve">their </w:t>
      </w:r>
      <w:r w:rsidRPr="00517640">
        <w:rPr>
          <w:rFonts w:ascii="Arial" w:hAnsi="Arial" w:cs="Arial"/>
          <w:sz w:val="20"/>
          <w:szCs w:val="20"/>
        </w:rPr>
        <w:t>implementation.</w:t>
      </w:r>
    </w:p>
    <w:p w:rsidR="00D605EB" w:rsidRPr="00517640" w:rsidRDefault="00D605EB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E1950" w:rsidRPr="00517640" w:rsidRDefault="009E1950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C4849">
        <w:rPr>
          <w:rFonts w:ascii="Arial" w:hAnsi="Arial" w:cs="Arial"/>
          <w:b/>
          <w:sz w:val="20"/>
          <w:szCs w:val="20"/>
          <w:u w:val="single"/>
        </w:rPr>
        <w:lastRenderedPageBreak/>
        <w:t>Article 4: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A779F6">
        <w:rPr>
          <w:rFonts w:ascii="Arial" w:hAnsi="Arial" w:cs="Arial"/>
          <w:sz w:val="20"/>
          <w:szCs w:val="20"/>
        </w:rPr>
        <w:t xml:space="preserve">This </w:t>
      </w:r>
      <w:r w:rsidRPr="00517640">
        <w:rPr>
          <w:rFonts w:ascii="Arial" w:hAnsi="Arial" w:cs="Arial"/>
          <w:sz w:val="20"/>
          <w:szCs w:val="20"/>
        </w:rPr>
        <w:t xml:space="preserve">Resolution </w:t>
      </w:r>
      <w:r w:rsidR="00A779F6">
        <w:rPr>
          <w:rFonts w:ascii="Arial" w:hAnsi="Arial" w:cs="Arial"/>
          <w:sz w:val="20"/>
          <w:szCs w:val="20"/>
        </w:rPr>
        <w:t xml:space="preserve">is </w:t>
      </w:r>
      <w:r w:rsidRPr="00517640">
        <w:rPr>
          <w:rFonts w:ascii="Arial" w:hAnsi="Arial" w:cs="Arial"/>
          <w:sz w:val="20"/>
          <w:szCs w:val="20"/>
        </w:rPr>
        <w:t>passed by the General Meeting of Shareholders of Song Da 4 Joint Stock Company in Annual Gen</w:t>
      </w:r>
      <w:r w:rsidR="00A779F6">
        <w:rPr>
          <w:rFonts w:ascii="Arial" w:hAnsi="Arial" w:cs="Arial"/>
          <w:sz w:val="20"/>
          <w:szCs w:val="20"/>
        </w:rPr>
        <w:t xml:space="preserve">eral Meeting of Shareholders 2017 on 28 April </w:t>
      </w:r>
      <w:r w:rsidRPr="00517640">
        <w:rPr>
          <w:rFonts w:ascii="Arial" w:hAnsi="Arial" w:cs="Arial"/>
          <w:sz w:val="20"/>
          <w:szCs w:val="20"/>
        </w:rPr>
        <w:t>2017 with voting rate of 100%.</w:t>
      </w:r>
    </w:p>
    <w:p w:rsidR="00CD5A64" w:rsidRPr="0025257A" w:rsidRDefault="00CA1082" w:rsidP="0025257A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</w:t>
      </w:r>
      <w:r w:rsidR="009E1950" w:rsidRPr="0025257A">
        <w:rPr>
          <w:rFonts w:ascii="Arial" w:hAnsi="Arial" w:cs="Arial"/>
          <w:sz w:val="20"/>
          <w:szCs w:val="20"/>
        </w:rPr>
        <w:t>esolution takes effect from April 28, 2017.</w:t>
      </w:r>
      <w:r w:rsidR="0025257A" w:rsidRPr="0025257A">
        <w:rPr>
          <w:rFonts w:ascii="Arial" w:hAnsi="Arial" w:cs="Arial"/>
          <w:sz w:val="20"/>
          <w:szCs w:val="20"/>
        </w:rPr>
        <w:t xml:space="preserve"> </w:t>
      </w:r>
    </w:p>
    <w:sectPr w:rsidR="00CD5A64" w:rsidRPr="0025257A" w:rsidSect="00CD3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EB" w:rsidRDefault="00FF11EB" w:rsidP="00F466E5">
      <w:r>
        <w:separator/>
      </w:r>
    </w:p>
  </w:endnote>
  <w:endnote w:type="continuationSeparator" w:id="0">
    <w:p w:rsidR="00FF11EB" w:rsidRDefault="00FF11EB" w:rsidP="00F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EB" w:rsidRDefault="00FF11EB" w:rsidP="00F466E5">
      <w:r>
        <w:separator/>
      </w:r>
    </w:p>
  </w:footnote>
  <w:footnote w:type="continuationSeparator" w:id="0">
    <w:p w:rsidR="00FF11EB" w:rsidRDefault="00FF11EB" w:rsidP="00F4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92F"/>
    <w:multiLevelType w:val="hybridMultilevel"/>
    <w:tmpl w:val="9A72AF56"/>
    <w:lvl w:ilvl="0" w:tplc="2674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65EF3"/>
    <w:multiLevelType w:val="hybridMultilevel"/>
    <w:tmpl w:val="7898D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1274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1BD6"/>
    <w:multiLevelType w:val="multilevel"/>
    <w:tmpl w:val="6AA8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ADC622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72D7D"/>
    <w:multiLevelType w:val="hybridMultilevel"/>
    <w:tmpl w:val="8D22D4B4"/>
    <w:lvl w:ilvl="0" w:tplc="CB9CBD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4C1064"/>
    <w:multiLevelType w:val="hybridMultilevel"/>
    <w:tmpl w:val="472CE8FC"/>
    <w:lvl w:ilvl="0" w:tplc="E11EC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8F35AD"/>
    <w:multiLevelType w:val="hybridMultilevel"/>
    <w:tmpl w:val="EAEE4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033B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16DF"/>
    <w:multiLevelType w:val="hybridMultilevel"/>
    <w:tmpl w:val="4F920952"/>
    <w:lvl w:ilvl="0" w:tplc="50F64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1CA"/>
    <w:multiLevelType w:val="hybridMultilevel"/>
    <w:tmpl w:val="F764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6DD4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0347"/>
    <w:multiLevelType w:val="hybridMultilevel"/>
    <w:tmpl w:val="FAB0D406"/>
    <w:lvl w:ilvl="0" w:tplc="1F160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31C03"/>
    <w:multiLevelType w:val="hybridMultilevel"/>
    <w:tmpl w:val="FBD813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A2826"/>
    <w:multiLevelType w:val="hybridMultilevel"/>
    <w:tmpl w:val="994CA532"/>
    <w:lvl w:ilvl="0" w:tplc="2018A0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E1D26"/>
    <w:multiLevelType w:val="hybridMultilevel"/>
    <w:tmpl w:val="253A8A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B72F6"/>
    <w:multiLevelType w:val="hybridMultilevel"/>
    <w:tmpl w:val="5C9AD7CE"/>
    <w:lvl w:ilvl="0" w:tplc="E9CE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80699"/>
    <w:multiLevelType w:val="multilevel"/>
    <w:tmpl w:val="EAE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C6C98"/>
    <w:multiLevelType w:val="multilevel"/>
    <w:tmpl w:val="8FA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05EDC"/>
    <w:multiLevelType w:val="hybridMultilevel"/>
    <w:tmpl w:val="317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E2631"/>
    <w:multiLevelType w:val="hybridMultilevel"/>
    <w:tmpl w:val="D3FAD35E"/>
    <w:lvl w:ilvl="0" w:tplc="A044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20"/>
  </w:num>
  <w:num w:numId="8">
    <w:abstractNumId w:val="13"/>
  </w:num>
  <w:num w:numId="9">
    <w:abstractNumId w:val="14"/>
  </w:num>
  <w:num w:numId="10">
    <w:abstractNumId w:val="19"/>
  </w:num>
  <w:num w:numId="11">
    <w:abstractNumId w:val="8"/>
  </w:num>
  <w:num w:numId="12">
    <w:abstractNumId w:val="9"/>
  </w:num>
  <w:num w:numId="13">
    <w:abstractNumId w:val="22"/>
  </w:num>
  <w:num w:numId="14">
    <w:abstractNumId w:val="18"/>
  </w:num>
  <w:num w:numId="15">
    <w:abstractNumId w:val="21"/>
  </w:num>
  <w:num w:numId="16">
    <w:abstractNumId w:val="0"/>
  </w:num>
  <w:num w:numId="17">
    <w:abstractNumId w:val="4"/>
  </w:num>
  <w:num w:numId="18">
    <w:abstractNumId w:val="10"/>
  </w:num>
  <w:num w:numId="19">
    <w:abstractNumId w:val="2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306A7"/>
    <w:rsid w:val="00036F5D"/>
    <w:rsid w:val="000540D8"/>
    <w:rsid w:val="00056492"/>
    <w:rsid w:val="000578EE"/>
    <w:rsid w:val="0006439C"/>
    <w:rsid w:val="00073F5B"/>
    <w:rsid w:val="00074322"/>
    <w:rsid w:val="00076E6D"/>
    <w:rsid w:val="000817CF"/>
    <w:rsid w:val="00092070"/>
    <w:rsid w:val="00093BBD"/>
    <w:rsid w:val="0009484A"/>
    <w:rsid w:val="000B081E"/>
    <w:rsid w:val="000C2E36"/>
    <w:rsid w:val="000D14EC"/>
    <w:rsid w:val="000D1CAA"/>
    <w:rsid w:val="000D65A7"/>
    <w:rsid w:val="000F504E"/>
    <w:rsid w:val="00115838"/>
    <w:rsid w:val="0011734D"/>
    <w:rsid w:val="001177BE"/>
    <w:rsid w:val="001200CF"/>
    <w:rsid w:val="001207A8"/>
    <w:rsid w:val="00152584"/>
    <w:rsid w:val="0015267E"/>
    <w:rsid w:val="00156A5A"/>
    <w:rsid w:val="001713B0"/>
    <w:rsid w:val="001754D2"/>
    <w:rsid w:val="00176775"/>
    <w:rsid w:val="00182AD1"/>
    <w:rsid w:val="001835A5"/>
    <w:rsid w:val="00192F78"/>
    <w:rsid w:val="001A2A43"/>
    <w:rsid w:val="001A76E7"/>
    <w:rsid w:val="001B1111"/>
    <w:rsid w:val="001B4413"/>
    <w:rsid w:val="001B5D21"/>
    <w:rsid w:val="001C26BC"/>
    <w:rsid w:val="001C5578"/>
    <w:rsid w:val="001D40ED"/>
    <w:rsid w:val="001E6EA6"/>
    <w:rsid w:val="001E7AB0"/>
    <w:rsid w:val="001F1D18"/>
    <w:rsid w:val="00223E21"/>
    <w:rsid w:val="00226119"/>
    <w:rsid w:val="0022679A"/>
    <w:rsid w:val="002310A2"/>
    <w:rsid w:val="00235D37"/>
    <w:rsid w:val="0025257A"/>
    <w:rsid w:val="00253091"/>
    <w:rsid w:val="0025393C"/>
    <w:rsid w:val="00261E73"/>
    <w:rsid w:val="00267D35"/>
    <w:rsid w:val="0027159C"/>
    <w:rsid w:val="00271B43"/>
    <w:rsid w:val="002749B4"/>
    <w:rsid w:val="0027639D"/>
    <w:rsid w:val="00280C69"/>
    <w:rsid w:val="002841A6"/>
    <w:rsid w:val="002862B2"/>
    <w:rsid w:val="00292760"/>
    <w:rsid w:val="00293E83"/>
    <w:rsid w:val="002B4327"/>
    <w:rsid w:val="002B75A3"/>
    <w:rsid w:val="002C39FD"/>
    <w:rsid w:val="002C6D0D"/>
    <w:rsid w:val="002D0AA9"/>
    <w:rsid w:val="002D4C69"/>
    <w:rsid w:val="002D5763"/>
    <w:rsid w:val="002E65B9"/>
    <w:rsid w:val="002E666B"/>
    <w:rsid w:val="002F1A4F"/>
    <w:rsid w:val="00316DB1"/>
    <w:rsid w:val="00323C1E"/>
    <w:rsid w:val="00324699"/>
    <w:rsid w:val="00324FA6"/>
    <w:rsid w:val="00354832"/>
    <w:rsid w:val="00361769"/>
    <w:rsid w:val="0036329D"/>
    <w:rsid w:val="00367815"/>
    <w:rsid w:val="00371B5E"/>
    <w:rsid w:val="0037303C"/>
    <w:rsid w:val="00376919"/>
    <w:rsid w:val="003900DC"/>
    <w:rsid w:val="003A5469"/>
    <w:rsid w:val="003A69DD"/>
    <w:rsid w:val="003B3300"/>
    <w:rsid w:val="003B7A96"/>
    <w:rsid w:val="003C2BFE"/>
    <w:rsid w:val="003C5A43"/>
    <w:rsid w:val="003D2831"/>
    <w:rsid w:val="003E26E3"/>
    <w:rsid w:val="003E495C"/>
    <w:rsid w:val="003E4DAF"/>
    <w:rsid w:val="003E572B"/>
    <w:rsid w:val="003F31B4"/>
    <w:rsid w:val="003F4657"/>
    <w:rsid w:val="003F485C"/>
    <w:rsid w:val="003F573C"/>
    <w:rsid w:val="003F7B34"/>
    <w:rsid w:val="004011C0"/>
    <w:rsid w:val="00401DEE"/>
    <w:rsid w:val="00404CC6"/>
    <w:rsid w:val="004109FB"/>
    <w:rsid w:val="00410EB0"/>
    <w:rsid w:val="00415D06"/>
    <w:rsid w:val="00425B09"/>
    <w:rsid w:val="00426913"/>
    <w:rsid w:val="00435BCD"/>
    <w:rsid w:val="00442AD3"/>
    <w:rsid w:val="004440F3"/>
    <w:rsid w:val="004526B9"/>
    <w:rsid w:val="004618F0"/>
    <w:rsid w:val="004761D5"/>
    <w:rsid w:val="00476D43"/>
    <w:rsid w:val="00481880"/>
    <w:rsid w:val="00482D46"/>
    <w:rsid w:val="004834C9"/>
    <w:rsid w:val="00491DEA"/>
    <w:rsid w:val="004A00E4"/>
    <w:rsid w:val="004B2BD9"/>
    <w:rsid w:val="004E06FA"/>
    <w:rsid w:val="004E23CE"/>
    <w:rsid w:val="004E582D"/>
    <w:rsid w:val="004F1122"/>
    <w:rsid w:val="004F25D2"/>
    <w:rsid w:val="00507F80"/>
    <w:rsid w:val="00510475"/>
    <w:rsid w:val="00511D16"/>
    <w:rsid w:val="00517640"/>
    <w:rsid w:val="005207B6"/>
    <w:rsid w:val="00535E5D"/>
    <w:rsid w:val="00541981"/>
    <w:rsid w:val="00541FC9"/>
    <w:rsid w:val="005420F3"/>
    <w:rsid w:val="00544CDD"/>
    <w:rsid w:val="00550BEC"/>
    <w:rsid w:val="00553624"/>
    <w:rsid w:val="0056512C"/>
    <w:rsid w:val="005668FB"/>
    <w:rsid w:val="00567A4E"/>
    <w:rsid w:val="00573ED8"/>
    <w:rsid w:val="00580379"/>
    <w:rsid w:val="005836B4"/>
    <w:rsid w:val="00584394"/>
    <w:rsid w:val="00593AA6"/>
    <w:rsid w:val="005A3669"/>
    <w:rsid w:val="005B0A95"/>
    <w:rsid w:val="005C6A13"/>
    <w:rsid w:val="005D1B6D"/>
    <w:rsid w:val="005E10F8"/>
    <w:rsid w:val="005E24F4"/>
    <w:rsid w:val="005E3C25"/>
    <w:rsid w:val="005E5DFF"/>
    <w:rsid w:val="005F0688"/>
    <w:rsid w:val="005F2A04"/>
    <w:rsid w:val="00602360"/>
    <w:rsid w:val="00604EC7"/>
    <w:rsid w:val="0063245C"/>
    <w:rsid w:val="00632C36"/>
    <w:rsid w:val="00642EC9"/>
    <w:rsid w:val="00646987"/>
    <w:rsid w:val="00651FE1"/>
    <w:rsid w:val="0065574C"/>
    <w:rsid w:val="006572EE"/>
    <w:rsid w:val="00660715"/>
    <w:rsid w:val="006629A4"/>
    <w:rsid w:val="0066528B"/>
    <w:rsid w:val="00672E94"/>
    <w:rsid w:val="00682F52"/>
    <w:rsid w:val="006835A0"/>
    <w:rsid w:val="00684AA8"/>
    <w:rsid w:val="00690A5A"/>
    <w:rsid w:val="006A7015"/>
    <w:rsid w:val="006B02D0"/>
    <w:rsid w:val="006B13C3"/>
    <w:rsid w:val="006B61B9"/>
    <w:rsid w:val="006D35DE"/>
    <w:rsid w:val="006D5D32"/>
    <w:rsid w:val="006E6A6C"/>
    <w:rsid w:val="006F18B8"/>
    <w:rsid w:val="006F3AC3"/>
    <w:rsid w:val="006F6323"/>
    <w:rsid w:val="00712993"/>
    <w:rsid w:val="00722063"/>
    <w:rsid w:val="00722B4F"/>
    <w:rsid w:val="007338F3"/>
    <w:rsid w:val="007415B6"/>
    <w:rsid w:val="0074250B"/>
    <w:rsid w:val="00743964"/>
    <w:rsid w:val="0074587F"/>
    <w:rsid w:val="0075207D"/>
    <w:rsid w:val="007530F9"/>
    <w:rsid w:val="00754560"/>
    <w:rsid w:val="00756635"/>
    <w:rsid w:val="0076046D"/>
    <w:rsid w:val="00771984"/>
    <w:rsid w:val="007726A2"/>
    <w:rsid w:val="00782843"/>
    <w:rsid w:val="00791A31"/>
    <w:rsid w:val="007A1710"/>
    <w:rsid w:val="007A210A"/>
    <w:rsid w:val="007B4675"/>
    <w:rsid w:val="007B7631"/>
    <w:rsid w:val="007C567C"/>
    <w:rsid w:val="007D6F96"/>
    <w:rsid w:val="007E09E8"/>
    <w:rsid w:val="00801FF8"/>
    <w:rsid w:val="00810594"/>
    <w:rsid w:val="00812DA4"/>
    <w:rsid w:val="00827ED7"/>
    <w:rsid w:val="00834C89"/>
    <w:rsid w:val="0083561D"/>
    <w:rsid w:val="00837308"/>
    <w:rsid w:val="0084027D"/>
    <w:rsid w:val="008545A3"/>
    <w:rsid w:val="0087459F"/>
    <w:rsid w:val="00883C6B"/>
    <w:rsid w:val="00892937"/>
    <w:rsid w:val="008A0DB0"/>
    <w:rsid w:val="008A0F23"/>
    <w:rsid w:val="008A23A6"/>
    <w:rsid w:val="008B3103"/>
    <w:rsid w:val="008C7FAA"/>
    <w:rsid w:val="008D2D82"/>
    <w:rsid w:val="008E520A"/>
    <w:rsid w:val="008E69C8"/>
    <w:rsid w:val="008E7446"/>
    <w:rsid w:val="008F09DA"/>
    <w:rsid w:val="008F1D7C"/>
    <w:rsid w:val="008F3C70"/>
    <w:rsid w:val="00904141"/>
    <w:rsid w:val="0092086A"/>
    <w:rsid w:val="009269B1"/>
    <w:rsid w:val="00933C92"/>
    <w:rsid w:val="00936F3D"/>
    <w:rsid w:val="00936FD8"/>
    <w:rsid w:val="009552A7"/>
    <w:rsid w:val="00957A94"/>
    <w:rsid w:val="00971CAD"/>
    <w:rsid w:val="00973D95"/>
    <w:rsid w:val="0097639D"/>
    <w:rsid w:val="00982C99"/>
    <w:rsid w:val="009879AA"/>
    <w:rsid w:val="0099026B"/>
    <w:rsid w:val="009937C4"/>
    <w:rsid w:val="009A5E61"/>
    <w:rsid w:val="009C4A9F"/>
    <w:rsid w:val="009D2018"/>
    <w:rsid w:val="009D3C55"/>
    <w:rsid w:val="009E1950"/>
    <w:rsid w:val="009E3FE9"/>
    <w:rsid w:val="009E4FD7"/>
    <w:rsid w:val="009E7CD1"/>
    <w:rsid w:val="009F2D2C"/>
    <w:rsid w:val="009F779C"/>
    <w:rsid w:val="00A06712"/>
    <w:rsid w:val="00A11636"/>
    <w:rsid w:val="00A11D97"/>
    <w:rsid w:val="00A13148"/>
    <w:rsid w:val="00A14F8E"/>
    <w:rsid w:val="00A221B8"/>
    <w:rsid w:val="00A32E4E"/>
    <w:rsid w:val="00A425C8"/>
    <w:rsid w:val="00A56CD5"/>
    <w:rsid w:val="00A60E43"/>
    <w:rsid w:val="00A6289B"/>
    <w:rsid w:val="00A63585"/>
    <w:rsid w:val="00A66037"/>
    <w:rsid w:val="00A72054"/>
    <w:rsid w:val="00A74CB7"/>
    <w:rsid w:val="00A779F6"/>
    <w:rsid w:val="00A87475"/>
    <w:rsid w:val="00A93661"/>
    <w:rsid w:val="00AA2CA8"/>
    <w:rsid w:val="00AB0AD5"/>
    <w:rsid w:val="00AB2D8A"/>
    <w:rsid w:val="00AB67AA"/>
    <w:rsid w:val="00AB785F"/>
    <w:rsid w:val="00AC015C"/>
    <w:rsid w:val="00AC454C"/>
    <w:rsid w:val="00AD5C0B"/>
    <w:rsid w:val="00AD7694"/>
    <w:rsid w:val="00AE0DCA"/>
    <w:rsid w:val="00AE6E4B"/>
    <w:rsid w:val="00B0019E"/>
    <w:rsid w:val="00B06C5E"/>
    <w:rsid w:val="00B06CC3"/>
    <w:rsid w:val="00B077D2"/>
    <w:rsid w:val="00B14498"/>
    <w:rsid w:val="00B25C47"/>
    <w:rsid w:val="00B321FF"/>
    <w:rsid w:val="00B3344C"/>
    <w:rsid w:val="00B41149"/>
    <w:rsid w:val="00B43ADD"/>
    <w:rsid w:val="00B54A2A"/>
    <w:rsid w:val="00B612C5"/>
    <w:rsid w:val="00B64961"/>
    <w:rsid w:val="00B65FB3"/>
    <w:rsid w:val="00B77C61"/>
    <w:rsid w:val="00B83F2C"/>
    <w:rsid w:val="00B871FB"/>
    <w:rsid w:val="00B87A6C"/>
    <w:rsid w:val="00B93233"/>
    <w:rsid w:val="00B939CE"/>
    <w:rsid w:val="00B97CD2"/>
    <w:rsid w:val="00BA3A42"/>
    <w:rsid w:val="00BB04D4"/>
    <w:rsid w:val="00BB38A4"/>
    <w:rsid w:val="00BC232B"/>
    <w:rsid w:val="00BC4849"/>
    <w:rsid w:val="00BD618E"/>
    <w:rsid w:val="00BD76CD"/>
    <w:rsid w:val="00BE5509"/>
    <w:rsid w:val="00BE7D65"/>
    <w:rsid w:val="00C056FB"/>
    <w:rsid w:val="00C10886"/>
    <w:rsid w:val="00C141E2"/>
    <w:rsid w:val="00C1683C"/>
    <w:rsid w:val="00C26332"/>
    <w:rsid w:val="00C27163"/>
    <w:rsid w:val="00C3722C"/>
    <w:rsid w:val="00C411B5"/>
    <w:rsid w:val="00C421AD"/>
    <w:rsid w:val="00C476A2"/>
    <w:rsid w:val="00C709B4"/>
    <w:rsid w:val="00C745B8"/>
    <w:rsid w:val="00C755DB"/>
    <w:rsid w:val="00C77343"/>
    <w:rsid w:val="00C83740"/>
    <w:rsid w:val="00C93435"/>
    <w:rsid w:val="00CA1082"/>
    <w:rsid w:val="00CB5456"/>
    <w:rsid w:val="00CC4771"/>
    <w:rsid w:val="00CC77BB"/>
    <w:rsid w:val="00CD3C1C"/>
    <w:rsid w:val="00CD4921"/>
    <w:rsid w:val="00CD5A64"/>
    <w:rsid w:val="00CD6605"/>
    <w:rsid w:val="00CE6290"/>
    <w:rsid w:val="00D21B68"/>
    <w:rsid w:val="00D3065F"/>
    <w:rsid w:val="00D50332"/>
    <w:rsid w:val="00D605EB"/>
    <w:rsid w:val="00D606EA"/>
    <w:rsid w:val="00D60DE9"/>
    <w:rsid w:val="00D67745"/>
    <w:rsid w:val="00D678D9"/>
    <w:rsid w:val="00D71D98"/>
    <w:rsid w:val="00D742BE"/>
    <w:rsid w:val="00D777E2"/>
    <w:rsid w:val="00D80E08"/>
    <w:rsid w:val="00D814B2"/>
    <w:rsid w:val="00D8543F"/>
    <w:rsid w:val="00D85DB4"/>
    <w:rsid w:val="00D87210"/>
    <w:rsid w:val="00D87AFD"/>
    <w:rsid w:val="00D93D68"/>
    <w:rsid w:val="00DA5F9E"/>
    <w:rsid w:val="00DB1F2C"/>
    <w:rsid w:val="00DB79EF"/>
    <w:rsid w:val="00DD41C3"/>
    <w:rsid w:val="00DD4883"/>
    <w:rsid w:val="00DD4A47"/>
    <w:rsid w:val="00DE6EC7"/>
    <w:rsid w:val="00DE7FB1"/>
    <w:rsid w:val="00E01892"/>
    <w:rsid w:val="00E02DB1"/>
    <w:rsid w:val="00E150A2"/>
    <w:rsid w:val="00E168AD"/>
    <w:rsid w:val="00E238DF"/>
    <w:rsid w:val="00E32823"/>
    <w:rsid w:val="00E34BE7"/>
    <w:rsid w:val="00E36543"/>
    <w:rsid w:val="00E63ADD"/>
    <w:rsid w:val="00E66105"/>
    <w:rsid w:val="00E74896"/>
    <w:rsid w:val="00E9414B"/>
    <w:rsid w:val="00E956B3"/>
    <w:rsid w:val="00E97C67"/>
    <w:rsid w:val="00EA3E0E"/>
    <w:rsid w:val="00EA5E63"/>
    <w:rsid w:val="00EB0500"/>
    <w:rsid w:val="00ED3A6D"/>
    <w:rsid w:val="00ED6FE7"/>
    <w:rsid w:val="00EE5192"/>
    <w:rsid w:val="00F11266"/>
    <w:rsid w:val="00F22015"/>
    <w:rsid w:val="00F22142"/>
    <w:rsid w:val="00F23A7F"/>
    <w:rsid w:val="00F30096"/>
    <w:rsid w:val="00F301E4"/>
    <w:rsid w:val="00F31FFA"/>
    <w:rsid w:val="00F466E5"/>
    <w:rsid w:val="00F50562"/>
    <w:rsid w:val="00F535DF"/>
    <w:rsid w:val="00F53AB6"/>
    <w:rsid w:val="00F6395B"/>
    <w:rsid w:val="00F63F5E"/>
    <w:rsid w:val="00F644AB"/>
    <w:rsid w:val="00F65870"/>
    <w:rsid w:val="00F75361"/>
    <w:rsid w:val="00F841CE"/>
    <w:rsid w:val="00F853B0"/>
    <w:rsid w:val="00F91445"/>
    <w:rsid w:val="00F94938"/>
    <w:rsid w:val="00F94CE5"/>
    <w:rsid w:val="00FB4D49"/>
    <w:rsid w:val="00FB67CA"/>
    <w:rsid w:val="00FC2081"/>
    <w:rsid w:val="00FC2B2E"/>
    <w:rsid w:val="00FC7C2C"/>
    <w:rsid w:val="00FD17A3"/>
    <w:rsid w:val="00FD35C6"/>
    <w:rsid w:val="00FD5E55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6CBDF-4B6E-4BB4-BC8E-E356BBE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translate">
    <w:name w:val="notranslate"/>
    <w:basedOn w:val="DefaultParagraphFont"/>
    <w:rsid w:val="00036F5D"/>
  </w:style>
  <w:style w:type="table" w:styleId="TableGrid">
    <w:name w:val="Table Grid"/>
    <w:basedOn w:val="TableNormal"/>
    <w:rsid w:val="00D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6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66E5"/>
    <w:rPr>
      <w:sz w:val="24"/>
      <w:szCs w:val="24"/>
    </w:rPr>
  </w:style>
  <w:style w:type="paragraph" w:styleId="Footer">
    <w:name w:val="footer"/>
    <w:basedOn w:val="Normal"/>
    <w:link w:val="FooterChar"/>
    <w:rsid w:val="00F46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6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2</cp:revision>
  <cp:lastPrinted>2017-04-24T04:48:00Z</cp:lastPrinted>
  <dcterms:created xsi:type="dcterms:W3CDTF">2017-05-12T07:55:00Z</dcterms:created>
  <dcterms:modified xsi:type="dcterms:W3CDTF">2017-05-12T07:55:00Z</dcterms:modified>
</cp:coreProperties>
</file>